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/>
        <w:spacing w:beforeAutospacing="0" w:afterAutospacing="0"/>
        <w:ind w:firstLine="64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  <w:lang w:eastAsia="zh-CN"/>
        </w:rPr>
        <w:t>上饶市婺源生态环境局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  <w:t>2022年政府信息公开工作年度报告</w:t>
      </w:r>
    </w:p>
    <w:p>
      <w:pPr>
        <w:pStyle w:val="5"/>
        <w:widowControl/>
        <w:shd w:val="clear" w:color="auto"/>
        <w:spacing w:beforeAutospacing="0" w:afterAutospacing="0"/>
        <w:ind w:firstLine="640"/>
        <w:jc w:val="both"/>
        <w:rPr>
          <w:rFonts w:ascii="宋体" w:hAnsi="宋体" w:eastAsia="宋体" w:cs="宋体"/>
          <w:color w:val="333333"/>
          <w:sz w:val="32"/>
          <w:szCs w:val="32"/>
        </w:rPr>
      </w:pPr>
    </w:p>
    <w:p>
      <w:pPr>
        <w:pStyle w:val="5"/>
        <w:widowControl/>
        <w:shd w:val="clear" w:color="auto"/>
        <w:spacing w:beforeAutospacing="0" w:afterAutospacing="0"/>
        <w:ind w:firstLine="64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本报告依据《中华人民共和国政府信息公开条例》（国务院令第711号，以下简称新《条例》）和《国务院办公厅政府信息与政务公开办公室关于印发&lt;中华人民共和国政府信息公开工作年度报告格式&gt;的通知》（国办公开办函〔2021〕30号）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上饶市婺源生态环境局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结合有关统计数据编制。本年度报告中所列数据的统计期限自2022年1月1日起至2022年12月31日止。全文包括主动公开、依申请公开、政府信息管理、平台建设、监督保障（含《中华人民共和国政府信息公开条例》第五十条第四项规定的各级人民政府“工作考核、社会评议和责任追究结果情况”）等方面。本年度报告的电子版可以从婺源县人民政府网站（www.jxwy.gov.cn）下载。如对本报告有任何疑问，请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上饶市婺源生态环境局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联系（地址：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上饶市婺源县紫阳镇金庸大道南侧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0793-5201350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333200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）。</w:t>
      </w:r>
    </w:p>
    <w:p>
      <w:pPr>
        <w:pStyle w:val="5"/>
        <w:widowControl/>
        <w:shd w:val="clear" w:color="auto"/>
        <w:spacing w:beforeAutospacing="0" w:afterAutospacing="0"/>
        <w:ind w:firstLine="640"/>
        <w:jc w:val="both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  <w:t>一、总体情况</w:t>
      </w:r>
    </w:p>
    <w:p>
      <w:pPr>
        <w:pStyle w:val="5"/>
        <w:widowControl/>
        <w:shd w:val="clear" w:color="auto"/>
        <w:spacing w:beforeAutospacing="0" w:afterAutospacing="0" w:line="11" w:lineRule="atLeast"/>
        <w:ind w:firstLine="0" w:firstLineChars="0"/>
        <w:jc w:val="both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上饶市婺源生态环境局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坚持以习近平新时代中国特色社会主义思想为指导，深入贯彻党的二十大精神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，严格落实《条例》和《国务院办公厅关于印发2022年政务公开工作要点的通知》（国办发〔2022〕8号）的要求。同时积极对《江西省人民政府办公厅关于印发2022年江西省政务公开工作要点的通知》（赣府厅字〔2022〕45号）明确目标任务。紧紧围绕县委、县政府中心工作及社会群众关注关切，加强政策发布的力度和时效，持续提升公开质量和治理效能，取得积极成效。2022年在婺源县人民政府网信息公开平台公开政府信息共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118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条。</w:t>
      </w:r>
    </w:p>
    <w:p>
      <w:pPr>
        <w:pStyle w:val="5"/>
        <w:widowControl/>
        <w:numPr>
          <w:ilvl w:val="0"/>
          <w:numId w:val="1"/>
        </w:numPr>
        <w:shd w:val="clear" w:color="auto"/>
        <w:spacing w:beforeAutospacing="0" w:afterAutospacing="0"/>
        <w:ind w:left="420" w:firstLine="320" w:firstLineChars="100"/>
        <w:jc w:val="both"/>
        <w:rPr>
          <w:rFonts w:ascii="楷体" w:hAnsi="楷体" w:eastAsia="楷体" w:cs="楷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Cs/>
          <w:color w:val="333333"/>
          <w:sz w:val="32"/>
          <w:szCs w:val="32"/>
          <w:shd w:val="clear" w:color="auto" w:fill="FFFFFF"/>
        </w:rPr>
        <w:t>主动公开</w:t>
      </w:r>
    </w:p>
    <w:p>
      <w:pPr>
        <w:pStyle w:val="5"/>
        <w:widowControl/>
        <w:shd w:val="clear" w:color="auto"/>
        <w:spacing w:beforeAutospacing="0" w:afterAutospacing="0"/>
        <w:ind w:firstLine="64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上饶市婺源生态环境局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认真贯彻落实省、市、县有关政务公开工作要求，始终坚持“以公开为常态、不公开为例外”原则，主动公开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工作动态、概况信息、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法规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文件、发展规划、人事信息、财经信息等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多方面的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信息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，并坚持以市场主体和群众需求为导向，提高政府信息公开精准度和到达率。</w:t>
      </w:r>
    </w:p>
    <w:p>
      <w:pPr>
        <w:pStyle w:val="5"/>
        <w:widowControl/>
        <w:shd w:val="clear" w:color="auto"/>
        <w:spacing w:beforeAutospacing="0" w:afterAutospacing="0"/>
        <w:ind w:firstLine="640"/>
        <w:jc w:val="both"/>
        <w:rPr>
          <w:rFonts w:hint="eastAsia" w:ascii="楷体" w:hAnsi="楷体" w:eastAsia="楷体" w:cs="楷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2022年我单位在婺源县人民政府信息网上总共发布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118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条信息，其中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概况信息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条，法规文件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条，发展规划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条，工作动态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条，人事信息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条，财经信息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条。</w:t>
      </w:r>
    </w:p>
    <w:p>
      <w:pPr>
        <w:pStyle w:val="5"/>
        <w:widowControl/>
        <w:shd w:val="clear" w:color="auto"/>
        <w:spacing w:beforeAutospacing="0" w:afterAutospacing="0"/>
        <w:jc w:val="both"/>
        <w:rPr>
          <w:rFonts w:ascii="楷体" w:hAnsi="楷体" w:eastAsia="楷体" w:cs="楷体"/>
          <w:color w:val="333333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shd w:val="clear" w:color="auto" w:fill="FFFFFF"/>
        </w:rPr>
        <w:t>（二）依申请公开</w:t>
      </w:r>
    </w:p>
    <w:p>
      <w:pPr>
        <w:pStyle w:val="5"/>
        <w:shd w:val="clear" w:color="auto"/>
        <w:spacing w:beforeAutospacing="0" w:afterAutospacing="0"/>
        <w:ind w:firstLine="64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我单位在依申请公开工作中严格落实《政府信息公开条例》，健全工作机制，强化服务意识，规范公开渠道。紧紧围绕中心工作充实公开内容，提高行政工作透明度。进一步完善政府信息公开申请登记、审核、办理、答复、归档等工作制度。2022年度我单位未收到依申请公开申请，在全年的信息公开工作中，未出现因政府信息公开工作被申请行政复议的情况，未出现因政府信息公开工作被提起行政诉讼的情况。</w:t>
      </w:r>
    </w:p>
    <w:p>
      <w:pPr>
        <w:pStyle w:val="5"/>
        <w:widowControl/>
        <w:shd w:val="clear" w:color="auto"/>
        <w:spacing w:beforeAutospacing="0" w:afterAutospacing="0"/>
        <w:ind w:firstLine="640"/>
        <w:jc w:val="both"/>
        <w:rPr>
          <w:rFonts w:ascii="楷体" w:hAnsi="楷体" w:eastAsia="楷体" w:cs="楷体"/>
          <w:color w:val="333333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shd w:val="clear" w:color="auto" w:fill="FFFFFF"/>
        </w:rPr>
        <w:t>（三）政府信息管理</w:t>
      </w:r>
    </w:p>
    <w:p>
      <w:pPr>
        <w:pStyle w:val="5"/>
        <w:shd w:val="clear" w:color="auto"/>
        <w:spacing w:beforeAutospacing="0" w:afterAutospacing="0"/>
        <w:ind w:firstLine="64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2022年，我单位加强组织领导，建立工作机构，落实“主要领导亲自抓，分管领导具体抓，职能部门抓落实”的工作机制，推进部门信息公开工作有序开展。一是结合生态环境工作确定公开信息的范围内容、公开形式、公开渠道、公开时限和查询方法，明确申请公开信息的获取程序、受理机构（办公地址、联系电话、电子邮箱）和监督办法。二是加强网站和新媒体内容建设和信息发布前的审核，所有政务信息均需经分管领导审核后方可发布。三是建立了政府网站网民意见建议的审看、处理、反馈工作机制，对群众投诉、意见、建议等各类网上诉求及时进行回应、处置，及时、有效应对各类突发事件。</w:t>
      </w:r>
    </w:p>
    <w:p>
      <w:pPr>
        <w:pStyle w:val="5"/>
        <w:widowControl/>
        <w:shd w:val="clear" w:color="auto"/>
        <w:spacing w:beforeAutospacing="0" w:afterAutospacing="0"/>
        <w:ind w:firstLine="640"/>
        <w:jc w:val="both"/>
        <w:rPr>
          <w:rFonts w:ascii="楷体" w:hAnsi="楷体" w:eastAsia="楷体" w:cs="楷体"/>
          <w:color w:val="333333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shd w:val="clear" w:color="auto" w:fill="FFFFFF"/>
        </w:rPr>
        <w:t>（四）平台建设</w:t>
      </w:r>
    </w:p>
    <w:p>
      <w:pPr>
        <w:pStyle w:val="5"/>
        <w:shd w:val="clear" w:color="auto"/>
        <w:spacing w:beforeAutospacing="0" w:afterAutospacing="0"/>
        <w:ind w:firstLine="64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我单位按照县政务公开文件精神，精确规划、标准建设，及时准确公布相关政务信息，通过婺源县政府门户网站管理平台及时公开信息。</w:t>
      </w:r>
    </w:p>
    <w:p>
      <w:pPr>
        <w:pStyle w:val="5"/>
        <w:shd w:val="clear" w:color="auto"/>
        <w:spacing w:beforeAutospacing="0" w:afterAutospacing="0"/>
        <w:ind w:firstLine="640"/>
        <w:jc w:val="both"/>
        <w:rPr>
          <w:rFonts w:ascii="楷体" w:hAnsi="楷体" w:eastAsia="楷体" w:cs="楷体"/>
          <w:color w:val="333333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shd w:val="clear" w:color="auto" w:fill="FFFFFF"/>
        </w:rPr>
        <w:t>（五）监督保障</w:t>
      </w:r>
    </w:p>
    <w:p>
      <w:pPr>
        <w:pStyle w:val="5"/>
        <w:shd w:val="clear" w:color="auto"/>
        <w:spacing w:beforeAutospacing="0" w:afterAutospacing="0"/>
        <w:ind w:firstLine="64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一是严格执行信息发布审核和依申请公开等机制。二是建立外部监督机制，形成常态化和长效性机制，在局政府网站公布投诉举报电话，接受企业群众对我局信息公开的实施情况进行监督检查。</w:t>
      </w:r>
    </w:p>
    <w:p>
      <w:pPr>
        <w:numPr>
          <w:ilvl w:val="0"/>
          <w:numId w:val="2"/>
        </w:numPr>
        <w:shd w:val="clear"/>
        <w:spacing w:line="540" w:lineRule="exact"/>
        <w:ind w:firstLine="64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主动公开政府信息情况</w:t>
      </w:r>
    </w:p>
    <w:tbl>
      <w:tblPr>
        <w:tblStyle w:val="6"/>
        <w:tblW w:w="84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2173"/>
        <w:gridCol w:w="2025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hd w:val="clear"/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991" w:type="dxa"/>
            <w:shd w:val="clear" w:color="auto" w:fill="auto"/>
          </w:tcPr>
          <w:p>
            <w:pPr>
              <w:shd w:val="clear"/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2173" w:type="dxa"/>
            <w:shd w:val="clear" w:color="auto" w:fill="auto"/>
          </w:tcPr>
          <w:p>
            <w:pPr>
              <w:shd w:val="clear"/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本年制发件数</w:t>
            </w:r>
          </w:p>
        </w:tc>
        <w:tc>
          <w:tcPr>
            <w:tcW w:w="2025" w:type="dxa"/>
            <w:shd w:val="clear" w:color="auto" w:fill="auto"/>
          </w:tcPr>
          <w:p>
            <w:pPr>
              <w:shd w:val="clear"/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本年废止件数</w:t>
            </w:r>
          </w:p>
        </w:tc>
        <w:tc>
          <w:tcPr>
            <w:tcW w:w="2295" w:type="dxa"/>
            <w:shd w:val="clear" w:color="auto" w:fill="auto"/>
          </w:tcPr>
          <w:p>
            <w:pPr>
              <w:shd w:val="clear"/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  <w:vAlign w:val="center"/>
          </w:tcPr>
          <w:p>
            <w:pPr>
              <w:shd w:val="clear"/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规章</w:t>
            </w:r>
          </w:p>
        </w:tc>
        <w:tc>
          <w:tcPr>
            <w:tcW w:w="2173" w:type="dxa"/>
            <w:shd w:val="clear" w:color="auto" w:fill="auto"/>
          </w:tcPr>
          <w:p>
            <w:pPr>
              <w:shd w:val="clear"/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2025" w:type="dxa"/>
            <w:shd w:val="clear" w:color="auto" w:fill="auto"/>
          </w:tcPr>
          <w:p>
            <w:pPr>
              <w:shd w:val="clear"/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2295" w:type="dxa"/>
            <w:shd w:val="clear" w:color="auto" w:fill="auto"/>
          </w:tcPr>
          <w:p>
            <w:pPr>
              <w:shd w:val="clear"/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hd w:val="clear"/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行政规范性文件</w:t>
            </w:r>
          </w:p>
        </w:tc>
        <w:tc>
          <w:tcPr>
            <w:tcW w:w="2173" w:type="dxa"/>
            <w:shd w:val="clear" w:color="auto" w:fill="auto"/>
          </w:tcPr>
          <w:p>
            <w:pPr>
              <w:shd w:val="clear"/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2025" w:type="dxa"/>
            <w:shd w:val="clear" w:color="auto" w:fill="auto"/>
          </w:tcPr>
          <w:p>
            <w:pPr>
              <w:shd w:val="clear"/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2295" w:type="dxa"/>
            <w:shd w:val="clear" w:color="auto" w:fill="auto"/>
          </w:tcPr>
          <w:p>
            <w:pPr>
              <w:shd w:val="clear"/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hd w:val="clear"/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hd w:val="clear"/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hd w:val="clear"/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hd w:val="clear"/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行政许可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hd w:val="clear"/>
              <w:spacing w:line="460" w:lineRule="exact"/>
              <w:ind w:firstLine="420"/>
              <w:jc w:val="center"/>
              <w:rPr>
                <w:rFonts w:hint="default" w:ascii="仿宋" w:hAnsi="仿宋" w:eastAsia="仿宋" w:cs="仿宋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hd w:val="clear"/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hd w:val="clear"/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hd w:val="clear"/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hd w:val="clear"/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行政处罚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hd w:val="clear"/>
              <w:spacing w:line="460" w:lineRule="exact"/>
              <w:ind w:firstLine="42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hd w:val="clear"/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行政强制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hd w:val="clear"/>
              <w:spacing w:line="460" w:lineRule="exact"/>
              <w:ind w:firstLine="42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hd w:val="clear"/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hd w:val="clear"/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hd w:val="clear"/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hd w:val="clear"/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行政事业性收费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hd w:val="clear"/>
              <w:spacing w:line="460" w:lineRule="exact"/>
              <w:ind w:firstLine="420"/>
              <w:jc w:val="center"/>
              <w:rPr>
                <w:rFonts w:hint="eastAsia" w:ascii="仿宋" w:hAnsi="仿宋" w:eastAsia="仿宋" w:cs="仿宋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shd w:val="clear"/>
        <w:spacing w:line="540" w:lineRule="exact"/>
        <w:ind w:firstLine="640"/>
        <w:rPr>
          <w:rFonts w:ascii="仿宋_GB2312" w:hAnsi="仿宋" w:eastAsia="仿宋_GB2312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三、收到和处理政府信息公开申请情况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1189"/>
        <w:gridCol w:w="3272"/>
        <w:gridCol w:w="429"/>
        <w:gridCol w:w="448"/>
        <w:gridCol w:w="390"/>
        <w:gridCol w:w="487"/>
        <w:gridCol w:w="487"/>
        <w:gridCol w:w="487"/>
        <w:gridCol w:w="5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518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331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518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自然人</w:t>
            </w:r>
          </w:p>
        </w:tc>
        <w:tc>
          <w:tcPr>
            <w:tcW w:w="22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法人或其他组织</w:t>
            </w:r>
          </w:p>
        </w:tc>
        <w:tc>
          <w:tcPr>
            <w:tcW w:w="58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518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商业</w:t>
            </w:r>
          </w:p>
          <w:p>
            <w:pPr>
              <w:shd w:val="clear"/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科研</w:t>
            </w:r>
          </w:p>
          <w:p>
            <w:pPr>
              <w:shd w:val="clear"/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机构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社会公益组织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法律服务机构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</w:t>
            </w:r>
          </w:p>
        </w:tc>
        <w:tc>
          <w:tcPr>
            <w:tcW w:w="5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5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一、本年新收政府信息公开申请数量</w:t>
            </w:r>
          </w:p>
        </w:tc>
        <w:tc>
          <w:tcPr>
            <w:tcW w:w="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5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二、上年结转政府信息公开申请数量</w:t>
            </w:r>
          </w:p>
        </w:tc>
        <w:tc>
          <w:tcPr>
            <w:tcW w:w="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2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三、本年度办理结果</w:t>
            </w:r>
          </w:p>
        </w:tc>
        <w:tc>
          <w:tcPr>
            <w:tcW w:w="44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（一）予以公开</w:t>
            </w:r>
          </w:p>
        </w:tc>
        <w:tc>
          <w:tcPr>
            <w:tcW w:w="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7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8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（三）不予公开</w:t>
            </w:r>
          </w:p>
        </w:tc>
        <w:tc>
          <w:tcPr>
            <w:tcW w:w="3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hd w:val="clear"/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1.属于国家秘密</w:t>
            </w:r>
          </w:p>
        </w:tc>
        <w:tc>
          <w:tcPr>
            <w:tcW w:w="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hd w:val="clear"/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1"/>
                <w:w w:val="92"/>
                <w:kern w:val="0"/>
                <w:sz w:val="24"/>
                <w:fitText w:val="2880" w:id="137304758"/>
              </w:rPr>
              <w:t>2.其他法律行政法规禁止公开</w:t>
            </w:r>
          </w:p>
        </w:tc>
        <w:tc>
          <w:tcPr>
            <w:tcW w:w="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hd w:val="clear"/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3.危及“三安全一稳定”</w:t>
            </w:r>
          </w:p>
        </w:tc>
        <w:tc>
          <w:tcPr>
            <w:tcW w:w="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hd w:val="clear"/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4.保护第三方合法权益</w:t>
            </w:r>
          </w:p>
        </w:tc>
        <w:tc>
          <w:tcPr>
            <w:tcW w:w="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hd w:val="clear"/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5.属于三类内部事务信息</w:t>
            </w:r>
          </w:p>
        </w:tc>
        <w:tc>
          <w:tcPr>
            <w:tcW w:w="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hd w:val="clear"/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6.属于四类过程性信息</w:t>
            </w:r>
          </w:p>
        </w:tc>
        <w:tc>
          <w:tcPr>
            <w:tcW w:w="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hd w:val="clear"/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7.属于行政执法案卷</w:t>
            </w:r>
          </w:p>
        </w:tc>
        <w:tc>
          <w:tcPr>
            <w:tcW w:w="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hd w:val="clear"/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8.属于行政查询事项</w:t>
            </w:r>
          </w:p>
        </w:tc>
        <w:tc>
          <w:tcPr>
            <w:tcW w:w="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8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（四）无法提供</w:t>
            </w:r>
          </w:p>
        </w:tc>
        <w:tc>
          <w:tcPr>
            <w:tcW w:w="3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hd w:val="clear"/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</w:rPr>
              <w:t>1.本机关不掌握相关政府信息</w:t>
            </w:r>
          </w:p>
        </w:tc>
        <w:tc>
          <w:tcPr>
            <w:tcW w:w="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hd w:val="clear"/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</w:rPr>
              <w:t>2.没有现成信息需要另行制作</w:t>
            </w:r>
          </w:p>
        </w:tc>
        <w:tc>
          <w:tcPr>
            <w:tcW w:w="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hd w:val="clear"/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3.补正后申请内容仍不明确</w:t>
            </w:r>
          </w:p>
        </w:tc>
        <w:tc>
          <w:tcPr>
            <w:tcW w:w="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2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8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（五）不予处理</w:t>
            </w:r>
          </w:p>
        </w:tc>
        <w:tc>
          <w:tcPr>
            <w:tcW w:w="3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hd w:val="clear"/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1.信访举报投诉类申请</w:t>
            </w:r>
          </w:p>
        </w:tc>
        <w:tc>
          <w:tcPr>
            <w:tcW w:w="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hd w:val="clear"/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2.重复申请</w:t>
            </w:r>
          </w:p>
        </w:tc>
        <w:tc>
          <w:tcPr>
            <w:tcW w:w="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hd w:val="clear"/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3.要求提供公开出版物</w:t>
            </w:r>
          </w:p>
        </w:tc>
        <w:tc>
          <w:tcPr>
            <w:tcW w:w="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hd w:val="clear"/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4.无正当理由大量反复申请</w:t>
            </w:r>
          </w:p>
        </w:tc>
        <w:tc>
          <w:tcPr>
            <w:tcW w:w="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jc w:val="center"/>
        </w:trPr>
        <w:tc>
          <w:tcPr>
            <w:tcW w:w="7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5.要求行政机关确认或重新出具已获取信息</w:t>
            </w:r>
          </w:p>
        </w:tc>
        <w:tc>
          <w:tcPr>
            <w:tcW w:w="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7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8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（六）其他处理</w:t>
            </w:r>
          </w:p>
        </w:tc>
        <w:tc>
          <w:tcPr>
            <w:tcW w:w="3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1.申请人无正当理由逾期不补正、行政机关不再处理其政府信息公开申请</w:t>
            </w:r>
          </w:p>
        </w:tc>
        <w:tc>
          <w:tcPr>
            <w:tcW w:w="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hint="eastAsia"/>
              </w:rPr>
            </w:pPr>
          </w:p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7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hint="eastAsia"/>
              </w:rPr>
            </w:pPr>
          </w:p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3.其他</w:t>
            </w:r>
          </w:p>
        </w:tc>
        <w:tc>
          <w:tcPr>
            <w:tcW w:w="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（七）总计</w:t>
            </w:r>
          </w:p>
        </w:tc>
        <w:tc>
          <w:tcPr>
            <w:tcW w:w="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5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四、结转下年度继续办理</w:t>
            </w:r>
          </w:p>
        </w:tc>
        <w:tc>
          <w:tcPr>
            <w:tcW w:w="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</w:tbl>
    <w:p>
      <w:pPr>
        <w:shd w:val="clear"/>
        <w:spacing w:line="540" w:lineRule="exact"/>
        <w:ind w:firstLine="640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hd w:val="clear"/>
        <w:spacing w:line="540" w:lineRule="exact"/>
        <w:ind w:firstLine="64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四、政府信息公开行政复议、行政诉讼情况</w:t>
      </w:r>
    </w:p>
    <w:tbl>
      <w:tblPr>
        <w:tblStyle w:val="6"/>
        <w:tblW w:w="8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726"/>
        <w:gridCol w:w="854"/>
        <w:gridCol w:w="573"/>
        <w:gridCol w:w="414"/>
        <w:gridCol w:w="533"/>
        <w:gridCol w:w="665"/>
        <w:gridCol w:w="568"/>
        <w:gridCol w:w="647"/>
        <w:gridCol w:w="762"/>
        <w:gridCol w:w="464"/>
        <w:gridCol w:w="414"/>
        <w:gridCol w:w="498"/>
        <w:gridCol w:w="735"/>
        <w:gridCol w:w="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305" w:type="dxa"/>
            <w:gridSpan w:val="5"/>
            <w:shd w:val="clear" w:color="auto" w:fill="auto"/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行政复议</w:t>
            </w:r>
          </w:p>
        </w:tc>
        <w:tc>
          <w:tcPr>
            <w:tcW w:w="5687" w:type="dxa"/>
            <w:gridSpan w:val="10"/>
            <w:shd w:val="clear" w:color="auto" w:fill="auto"/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8" w:type="dxa"/>
            <w:vMerge w:val="restart"/>
            <w:shd w:val="clear" w:color="auto" w:fill="auto"/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结果维持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结果纠正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其他结果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>
            <w:pPr>
              <w:shd w:val="clear"/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尚未审结</w:t>
            </w:r>
          </w:p>
        </w:tc>
        <w:tc>
          <w:tcPr>
            <w:tcW w:w="414" w:type="dxa"/>
            <w:vMerge w:val="restart"/>
            <w:shd w:val="clear" w:color="auto" w:fill="auto"/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  <w:tc>
          <w:tcPr>
            <w:tcW w:w="3175" w:type="dxa"/>
            <w:gridSpan w:val="5"/>
            <w:shd w:val="clear" w:color="auto" w:fill="auto"/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auto" w:fill="FFFFFF"/>
              </w:rPr>
              <w:t>未经复议直接起诉</w:t>
            </w:r>
          </w:p>
        </w:tc>
        <w:tc>
          <w:tcPr>
            <w:tcW w:w="2512" w:type="dxa"/>
            <w:gridSpan w:val="5"/>
            <w:shd w:val="clear" w:color="auto" w:fill="auto"/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auto" w:fill="FFFFFF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738" w:type="dxa"/>
            <w:vMerge w:val="continue"/>
            <w:shd w:val="clear" w:color="auto" w:fill="auto"/>
            <w:vAlign w:val="center"/>
          </w:tcPr>
          <w:p>
            <w:pPr>
              <w:shd w:val="clear"/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shd w:val="clear"/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hd w:val="clear"/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shd w:val="clear"/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4" w:type="dxa"/>
            <w:vMerge w:val="continue"/>
            <w:shd w:val="clear" w:color="auto" w:fill="auto"/>
            <w:vAlign w:val="center"/>
          </w:tcPr>
          <w:p>
            <w:pPr>
              <w:shd w:val="clear"/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结果维持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结果纠正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其他结果</w:t>
            </w:r>
          </w:p>
        </w:tc>
        <w:tc>
          <w:tcPr>
            <w:tcW w:w="647" w:type="dxa"/>
            <w:shd w:val="clear" w:color="auto" w:fill="auto"/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尚未审结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  <w:tc>
          <w:tcPr>
            <w:tcW w:w="464" w:type="dxa"/>
            <w:shd w:val="clear" w:color="auto" w:fill="auto"/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结果维持</w:t>
            </w:r>
          </w:p>
        </w:tc>
        <w:tc>
          <w:tcPr>
            <w:tcW w:w="414" w:type="dxa"/>
            <w:shd w:val="clear" w:color="auto" w:fill="auto"/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结果纠正</w:t>
            </w:r>
          </w:p>
        </w:tc>
        <w:tc>
          <w:tcPr>
            <w:tcW w:w="498" w:type="dxa"/>
            <w:shd w:val="clear" w:color="auto" w:fill="auto"/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其他结果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尚未审结</w:t>
            </w:r>
          </w:p>
        </w:tc>
        <w:tc>
          <w:tcPr>
            <w:tcW w:w="401" w:type="dxa"/>
            <w:shd w:val="clear" w:color="auto" w:fill="auto"/>
            <w:vAlign w:val="center"/>
          </w:tcPr>
          <w:p>
            <w:pPr>
              <w:shd w:val="clear"/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shd w:val="clear" w:color="auto" w:fill="auto"/>
          </w:tcPr>
          <w:p>
            <w:pPr>
              <w:shd w:val="clear"/>
              <w:spacing w:line="540" w:lineRule="exact"/>
              <w:ind w:left="0" w:leftChars="0" w:firstLine="0" w:firstLineChars="0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auto"/>
          </w:tcPr>
          <w:p>
            <w:pPr>
              <w:shd w:val="clear"/>
              <w:spacing w:line="540" w:lineRule="exact"/>
              <w:ind w:left="0" w:leftChars="0" w:firstLine="0" w:firstLineChars="0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>
            <w:pPr>
              <w:shd w:val="clear"/>
              <w:spacing w:line="540" w:lineRule="exact"/>
              <w:ind w:left="0" w:leftChars="0" w:firstLine="0" w:firstLineChars="0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>
            <w:pPr>
              <w:shd w:val="clear"/>
              <w:spacing w:line="54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14" w:type="dxa"/>
            <w:shd w:val="clear" w:color="auto" w:fill="auto"/>
          </w:tcPr>
          <w:p>
            <w:pPr>
              <w:shd w:val="clear"/>
              <w:tabs>
                <w:tab w:val="center" w:pos="99"/>
              </w:tabs>
              <w:spacing w:line="540" w:lineRule="exact"/>
              <w:ind w:left="0" w:leftChars="0" w:firstLine="0" w:firstLineChars="0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ab/>
            </w:r>
          </w:p>
        </w:tc>
        <w:tc>
          <w:tcPr>
            <w:tcW w:w="533" w:type="dxa"/>
            <w:shd w:val="clear" w:color="auto" w:fill="auto"/>
          </w:tcPr>
          <w:p>
            <w:pPr>
              <w:shd w:val="clear"/>
              <w:spacing w:line="540" w:lineRule="exact"/>
              <w:ind w:left="0" w:leftChars="0" w:firstLine="0" w:firstLineChars="0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>
            <w:pPr>
              <w:shd w:val="clear"/>
              <w:spacing w:line="540" w:lineRule="exact"/>
              <w:ind w:left="0" w:leftChars="0" w:firstLine="0" w:firstLineChars="0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8" w:type="dxa"/>
            <w:shd w:val="clear" w:color="auto" w:fill="auto"/>
          </w:tcPr>
          <w:p>
            <w:pPr>
              <w:shd w:val="clear"/>
              <w:spacing w:line="540" w:lineRule="exact"/>
              <w:ind w:left="0" w:leftChars="0" w:firstLine="0" w:firstLineChars="0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47" w:type="dxa"/>
            <w:shd w:val="clear" w:color="auto" w:fill="auto"/>
          </w:tcPr>
          <w:p>
            <w:pPr>
              <w:shd w:val="clear"/>
              <w:spacing w:line="540" w:lineRule="exact"/>
              <w:ind w:left="0" w:leftChars="0" w:firstLine="0" w:firstLineChars="0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762" w:type="dxa"/>
            <w:shd w:val="clear" w:color="auto" w:fill="auto"/>
          </w:tcPr>
          <w:p>
            <w:pPr>
              <w:shd w:val="clear"/>
              <w:spacing w:line="540" w:lineRule="exact"/>
              <w:ind w:left="0" w:leftChars="0" w:firstLine="0" w:firstLineChars="0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4" w:type="dxa"/>
            <w:shd w:val="clear" w:color="auto" w:fill="auto"/>
          </w:tcPr>
          <w:p>
            <w:pPr>
              <w:shd w:val="clear"/>
              <w:spacing w:line="540" w:lineRule="exact"/>
              <w:ind w:left="0" w:leftChars="0" w:firstLine="0" w:firstLineChars="0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14" w:type="dxa"/>
            <w:shd w:val="clear" w:color="auto" w:fill="auto"/>
          </w:tcPr>
          <w:p>
            <w:pPr>
              <w:shd w:val="clear"/>
              <w:spacing w:line="540" w:lineRule="exact"/>
              <w:ind w:left="0" w:leftChars="0" w:firstLine="0" w:firstLineChars="0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98" w:type="dxa"/>
            <w:shd w:val="clear" w:color="auto" w:fill="auto"/>
          </w:tcPr>
          <w:p>
            <w:pPr>
              <w:shd w:val="clear"/>
              <w:spacing w:line="540" w:lineRule="exact"/>
              <w:ind w:left="0" w:leftChars="0" w:firstLine="0" w:firstLineChars="0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shd w:val="clear" w:color="auto" w:fill="auto"/>
          </w:tcPr>
          <w:p>
            <w:pPr>
              <w:shd w:val="clear"/>
              <w:spacing w:line="540" w:lineRule="exact"/>
              <w:ind w:left="0" w:leftChars="0" w:firstLine="0" w:firstLineChars="0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01" w:type="dxa"/>
            <w:shd w:val="clear" w:color="auto" w:fill="auto"/>
          </w:tcPr>
          <w:p>
            <w:pPr>
              <w:shd w:val="clear"/>
              <w:spacing w:line="540" w:lineRule="exact"/>
              <w:ind w:left="0" w:leftChars="0" w:firstLine="0" w:firstLineChars="0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</w:tbl>
    <w:p>
      <w:pPr>
        <w:pStyle w:val="5"/>
        <w:widowControl/>
        <w:shd w:val="clear" w:color="auto"/>
        <w:spacing w:beforeAutospacing="0" w:afterAutospacing="0"/>
        <w:ind w:firstLine="640"/>
        <w:jc w:val="both"/>
        <w:rPr>
          <w:rFonts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105" w:afterAutospacing="0" w:line="23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经过长期不断地自查自纠，我局政府信息公开工作已取得长足的进步，但与上级要求和公众需求相比仍存在着差距，主要存在个别发布平台栏目内容设置不够丰富，部分信息发布的质量不高、深度不够，公开信息的时效性不够强等方面的不足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105" w:afterAutospacing="0" w:line="23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下一步我局将积极优化内容设置。注重信息发布的质量、时效和深度，继续优化网站栏目内容设置，强化生态环境信息公开指导，不断提高我局网站信息公开建设和管理的水平。</w:t>
      </w:r>
    </w:p>
    <w:p>
      <w:pPr>
        <w:pStyle w:val="5"/>
        <w:widowControl/>
        <w:shd w:val="clear" w:color="auto"/>
        <w:spacing w:beforeAutospacing="0" w:afterAutospacing="0"/>
        <w:ind w:firstLine="640"/>
        <w:jc w:val="both"/>
        <w:rPr>
          <w:rFonts w:ascii="黑体" w:hAnsi="黑体" w:eastAsia="黑体" w:cs="黑体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105" w:afterAutospacing="0" w:line="23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已在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信息公开指南中发布依申请公开收费标准，2022年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我单位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无收取信息处理费情况。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105" w:afterAutospacing="0" w:line="23" w:lineRule="atLeast"/>
        <w:ind w:left="0" w:right="0" w:firstLine="420"/>
        <w:jc w:val="both"/>
        <w:rPr>
          <w:rFonts w:hint="default" w:ascii="仿宋" w:hAnsi="仿宋" w:eastAsia="仿宋" w:cs="仿宋"/>
          <w:color w:val="00B0F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附件：上饶市婺源生态环境局2022年政府信息公开工作年度报告</w:t>
      </w:r>
    </w:p>
    <w:p>
      <w:pPr>
        <w:pStyle w:val="5"/>
        <w:widowControl/>
        <w:shd w:val="clear" w:color="auto"/>
        <w:spacing w:beforeAutospacing="0" w:afterAutospacing="0"/>
        <w:ind w:firstLine="640"/>
        <w:jc w:val="both"/>
        <w:rPr>
          <w:rFonts w:hint="default" w:ascii="仿宋" w:hAnsi="仿宋" w:eastAsia="仿宋" w:cs="仿宋"/>
          <w:color w:val="FF0000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A89943"/>
    <w:multiLevelType w:val="singleLevel"/>
    <w:tmpl w:val="B2A8994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9E43582"/>
    <w:multiLevelType w:val="singleLevel"/>
    <w:tmpl w:val="F9E43582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hOWNiNGVmN2UyNTlmODhjYTk2ZWYxMGNjODY1ZjQifQ=="/>
  </w:docVars>
  <w:rsids>
    <w:rsidRoot w:val="002167C3"/>
    <w:rsid w:val="002167C3"/>
    <w:rsid w:val="00300DD2"/>
    <w:rsid w:val="00645E83"/>
    <w:rsid w:val="007C79F7"/>
    <w:rsid w:val="00874A4C"/>
    <w:rsid w:val="00C72EF2"/>
    <w:rsid w:val="00D053DB"/>
    <w:rsid w:val="00FE1280"/>
    <w:rsid w:val="072F4BA5"/>
    <w:rsid w:val="0BD0037E"/>
    <w:rsid w:val="0F42566A"/>
    <w:rsid w:val="0FE32618"/>
    <w:rsid w:val="13CC3B21"/>
    <w:rsid w:val="17534F7D"/>
    <w:rsid w:val="1A62014B"/>
    <w:rsid w:val="1B931963"/>
    <w:rsid w:val="224B441C"/>
    <w:rsid w:val="22923CA7"/>
    <w:rsid w:val="22E26EC9"/>
    <w:rsid w:val="23B06487"/>
    <w:rsid w:val="2480713E"/>
    <w:rsid w:val="250807C0"/>
    <w:rsid w:val="27FD2EF5"/>
    <w:rsid w:val="2988332B"/>
    <w:rsid w:val="2B1A10CF"/>
    <w:rsid w:val="424C7E6D"/>
    <w:rsid w:val="449627D0"/>
    <w:rsid w:val="4A3577E4"/>
    <w:rsid w:val="4D995A47"/>
    <w:rsid w:val="4E1777FC"/>
    <w:rsid w:val="519D4381"/>
    <w:rsid w:val="540E4222"/>
    <w:rsid w:val="566E50F8"/>
    <w:rsid w:val="56857A37"/>
    <w:rsid w:val="5A131B0B"/>
    <w:rsid w:val="5ABA5A4E"/>
    <w:rsid w:val="5B7235AA"/>
    <w:rsid w:val="5BA359BF"/>
    <w:rsid w:val="5FCE6A83"/>
    <w:rsid w:val="5FEB66AA"/>
    <w:rsid w:val="62BC2293"/>
    <w:rsid w:val="641A130C"/>
    <w:rsid w:val="6EB526D3"/>
    <w:rsid w:val="6EC41F3F"/>
    <w:rsid w:val="73F57932"/>
    <w:rsid w:val="77707769"/>
    <w:rsid w:val="7B03617C"/>
    <w:rsid w:val="7B440FF1"/>
    <w:rsid w:val="7D7C7DE7"/>
    <w:rsid w:val="7E851D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333333"/>
      <w:u w:val="none"/>
    </w:rPr>
  </w:style>
  <w:style w:type="character" w:customStyle="1" w:styleId="10">
    <w:name w:val="hover14"/>
    <w:basedOn w:val="7"/>
    <w:qFormat/>
    <w:uiPriority w:val="0"/>
    <w:rPr>
      <w:shd w:val="clear" w:color="auto" w:fill="929292"/>
    </w:rPr>
  </w:style>
  <w:style w:type="character" w:customStyle="1" w:styleId="11">
    <w:name w:val="article-icon"/>
    <w:basedOn w:val="7"/>
    <w:qFormat/>
    <w:uiPriority w:val="0"/>
  </w:style>
  <w:style w:type="character" w:customStyle="1" w:styleId="12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2633</Words>
  <Characters>2745</Characters>
  <Lines>4</Lines>
  <Paragraphs>6</Paragraphs>
  <TotalTime>28</TotalTime>
  <ScaleCrop>false</ScaleCrop>
  <LinksUpToDate>false</LinksUpToDate>
  <CharactersWithSpaces>2746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2021-01-07T01:14:00Z</dcterms:created>
  <dc:creator>Administrator</dc:creator>
  <cp:lastModifiedBy>kevin</cp:lastModifiedBy>
  <dcterms:modified xsi:type="dcterms:W3CDTF">2023-01-30T02:48:21Z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CA71021722304174B2AC1DF2B366F2A4</vt:lpwstr>
  </property>
</Properties>
</file>