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600" w:lineRule="exact"/>
        <w:ind w:left="0" w:right="0" w:firstLine="880" w:firstLineChars="20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highlight w:val="none"/>
          <w:shd w:val="clear" w:color="0A0000" w:fill="FFFFFF"/>
          <w:lang w:val="en-US" w:eastAsia="zh-CN"/>
        </w:rPr>
        <w:t>婺源县审计局</w:t>
      </w:r>
      <w:r>
        <w:rPr>
          <w:rFonts w:hint="eastAsia" w:ascii="方正小标宋简体" w:hAnsi="方正小标宋简体" w:eastAsia="方正小标宋简体" w:cs="方正小标宋简体"/>
          <w:b w:val="0"/>
          <w:bCs/>
          <w:i w:val="0"/>
          <w:caps w:val="0"/>
          <w:color w:val="333333"/>
          <w:spacing w:val="0"/>
          <w:sz w:val="44"/>
          <w:szCs w:val="44"/>
          <w:highlight w:val="none"/>
          <w:shd w:val="clear" w:color="090000"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090000" w:fill="FFFFFF"/>
          <w:lang w:val="en-US" w:eastAsia="zh-CN"/>
        </w:rPr>
        <w:t>021年</w:t>
      </w:r>
      <w:r>
        <w:rPr>
          <w:rFonts w:hint="eastAsia" w:ascii="方正小标宋简体" w:hAnsi="方正小标宋简体" w:eastAsia="方正小标宋简体" w:cs="方正小标宋简体"/>
          <w:b w:val="0"/>
          <w:bCs/>
          <w:i w:val="0"/>
          <w:caps w:val="0"/>
          <w:color w:val="333333"/>
          <w:spacing w:val="0"/>
          <w:sz w:val="44"/>
          <w:szCs w:val="44"/>
          <w:shd w:val="clear" w:color="090000" w:fill="FFFFFF"/>
        </w:rPr>
        <w:t>政府信息公开工作年度报告</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highlight w:val="none"/>
          <w:lang w:val="en-US" w:eastAsia="zh-CN"/>
        </w:rPr>
        <w:t>县审计局</w:t>
      </w:r>
      <w:r>
        <w:rPr>
          <w:rFonts w:hint="eastAsia" w:ascii="仿宋_GB2312" w:hAnsi="仿宋_GB2312" w:eastAsia="仿宋_GB2312" w:cs="仿宋_GB2312"/>
          <w:i w:val="0"/>
          <w:caps w:val="0"/>
          <w:color w:val="333333"/>
          <w:spacing w:val="0"/>
          <w:sz w:val="32"/>
          <w:szCs w:val="32"/>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2021</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2021</w:t>
      </w:r>
      <w:r>
        <w:rPr>
          <w:rFonts w:hint="eastAsia" w:ascii="仿宋_GB2312" w:hAnsi="仿宋_GB2312" w:eastAsia="仿宋_GB2312" w:cs="仿宋_GB2312"/>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highlight w:val="none"/>
          <w:lang w:val="en-US" w:eastAsia="zh-CN"/>
        </w:rPr>
        <w:t>婺源县</w:t>
      </w:r>
      <w:r>
        <w:rPr>
          <w:rFonts w:hint="eastAsia" w:ascii="仿宋_GB2312" w:hAnsi="仿宋_GB2312" w:eastAsia="仿宋_GB2312" w:cs="仿宋_GB2312"/>
          <w:i w:val="0"/>
          <w:caps w:val="0"/>
          <w:color w:val="333333"/>
          <w:spacing w:val="0"/>
          <w:sz w:val="32"/>
          <w:szCs w:val="32"/>
        </w:rPr>
        <w:t>人民政府网站</w:t>
      </w:r>
      <w:r>
        <w:rPr>
          <w:rFonts w:hint="eastAsia" w:ascii="仿宋_GB2312" w:hAnsi="仿宋_GB2312" w:eastAsia="仿宋_GB2312" w:cs="仿宋_GB2312"/>
          <w:i w:val="0"/>
          <w:caps w:val="0"/>
          <w:color w:val="333333"/>
          <w:spacing w:val="0"/>
          <w:sz w:val="32"/>
          <w:szCs w:val="32"/>
          <w:highlight w:val="none"/>
        </w:rPr>
        <w:t>（</w:t>
      </w:r>
      <w:r>
        <w:rPr>
          <w:rFonts w:hint="eastAsia" w:ascii="仿宋_GB2312" w:hAnsi="仿宋_GB2312" w:eastAsia="仿宋_GB2312" w:cs="仿宋_GB2312"/>
          <w:i w:val="0"/>
          <w:caps w:val="0"/>
          <w:color w:val="333333"/>
          <w:spacing w:val="0"/>
          <w:sz w:val="32"/>
          <w:szCs w:val="32"/>
          <w:highlight w:val="none"/>
          <w:lang w:val="en-US" w:eastAsia="zh-CN"/>
        </w:rPr>
        <w:t>http://www.jxwy.gov.cn/</w:t>
      </w:r>
      <w:r>
        <w:rPr>
          <w:rFonts w:hint="eastAsia" w:ascii="仿宋_GB2312" w:hAnsi="仿宋_GB2312" w:eastAsia="仿宋_GB2312" w:cs="仿宋_GB2312"/>
          <w:i w:val="0"/>
          <w:caps w:val="0"/>
          <w:color w:val="333333"/>
          <w:spacing w:val="0"/>
          <w:sz w:val="32"/>
          <w:szCs w:val="32"/>
          <w:highlight w:val="none"/>
        </w:rPr>
        <w:t>）</w:t>
      </w:r>
      <w:r>
        <w:rPr>
          <w:rFonts w:hint="eastAsia" w:ascii="仿宋_GB2312" w:hAnsi="仿宋_GB2312" w:eastAsia="仿宋_GB2312" w:cs="仿宋_GB2312"/>
          <w:i w:val="0"/>
          <w:caps w:val="0"/>
          <w:color w:val="333333"/>
          <w:spacing w:val="0"/>
          <w:sz w:val="32"/>
          <w:szCs w:val="32"/>
        </w:rPr>
        <w:t>下载。如对本报告有任何疑问，请与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县审计局</w:t>
      </w:r>
      <w:r>
        <w:rPr>
          <w:rFonts w:hint="eastAsia" w:ascii="仿宋_GB2312" w:hAnsi="仿宋_GB2312" w:eastAsia="仿宋_GB2312" w:cs="仿宋_GB2312"/>
          <w:i w:val="0"/>
          <w:caps w:val="0"/>
          <w:color w:val="333333"/>
          <w:spacing w:val="0"/>
          <w:sz w:val="32"/>
          <w:szCs w:val="32"/>
        </w:rPr>
        <w:t>联系（地址：</w:t>
      </w:r>
      <w:r>
        <w:rPr>
          <w:rFonts w:hint="eastAsia" w:ascii="仿宋_GB2312" w:hAnsi="仿宋_GB2312" w:eastAsia="仿宋_GB2312" w:cs="仿宋_GB2312"/>
          <w:i w:val="0"/>
          <w:caps w:val="0"/>
          <w:color w:val="333333"/>
          <w:spacing w:val="0"/>
          <w:sz w:val="32"/>
          <w:szCs w:val="32"/>
          <w:highlight w:val="none"/>
          <w:lang w:val="en-US" w:eastAsia="zh-CN"/>
        </w:rPr>
        <w:t>婺源县天佑西路63号</w:t>
      </w:r>
      <w:r>
        <w:rPr>
          <w:rFonts w:hint="eastAsia" w:ascii="仿宋_GB2312" w:hAnsi="仿宋_GB2312" w:eastAsia="仿宋_GB2312" w:cs="仿宋_GB2312"/>
          <w:i w:val="0"/>
          <w:caps w:val="0"/>
          <w:color w:val="333333"/>
          <w:spacing w:val="0"/>
          <w:sz w:val="32"/>
          <w:szCs w:val="32"/>
        </w:rPr>
        <w:t>，电话：</w:t>
      </w:r>
      <w:r>
        <w:rPr>
          <w:rFonts w:hint="eastAsia" w:ascii="仿宋_GB2312" w:hAnsi="仿宋_GB2312" w:eastAsia="仿宋_GB2312" w:cs="仿宋_GB2312"/>
          <w:i w:val="0"/>
          <w:caps w:val="0"/>
          <w:color w:val="333333"/>
          <w:spacing w:val="0"/>
          <w:sz w:val="32"/>
          <w:szCs w:val="32"/>
          <w:highlight w:val="none"/>
          <w:lang w:val="en-US" w:eastAsia="zh-CN"/>
        </w:rPr>
        <w:t>7355433</w:t>
      </w:r>
      <w:r>
        <w:rPr>
          <w:rFonts w:hint="eastAsia" w:ascii="仿宋_GB2312" w:hAnsi="仿宋_GB2312" w:eastAsia="仿宋_GB2312" w:cs="仿宋_GB2312"/>
          <w:i w:val="0"/>
          <w:caps w:val="0"/>
          <w:color w:val="333333"/>
          <w:spacing w:val="0"/>
          <w:sz w:val="32"/>
          <w:szCs w:val="32"/>
        </w:rPr>
        <w:t>，邮编：</w:t>
      </w:r>
      <w:r>
        <w:rPr>
          <w:rFonts w:hint="eastAsia" w:ascii="仿宋_GB2312" w:hAnsi="仿宋_GB2312" w:eastAsia="仿宋_GB2312" w:cs="仿宋_GB2312"/>
          <w:i w:val="0"/>
          <w:caps w:val="0"/>
          <w:color w:val="333333"/>
          <w:spacing w:val="0"/>
          <w:sz w:val="32"/>
          <w:szCs w:val="32"/>
          <w:highlight w:val="none"/>
          <w:lang w:val="en-US" w:eastAsia="zh-CN"/>
        </w:rPr>
        <w:t>333200</w:t>
      </w:r>
      <w:r>
        <w:rPr>
          <w:rFonts w:hint="eastAsia" w:ascii="仿宋_GB2312" w:hAnsi="仿宋_GB2312" w:eastAsia="仿宋_GB2312" w:cs="仿宋_GB2312"/>
          <w:i w:val="0"/>
          <w:caps w:val="0"/>
          <w:color w:val="333333"/>
          <w:spacing w:val="0"/>
          <w:sz w:val="32"/>
          <w:szCs w:val="32"/>
        </w:rPr>
        <w:t>）。</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600" w:lineRule="exact"/>
        <w:ind w:leftChars="200" w:right="0" w:rightChars="0"/>
        <w:jc w:val="both"/>
        <w:textAlignment w:val="auto"/>
        <w:outlineLvl w:val="0"/>
        <w:rPr>
          <w:rFonts w:hint="default" w:ascii="Times New Roman" w:hAnsi="Times New Roman" w:eastAsia="黑体" w:cs="Times New Roman"/>
          <w:b w:val="0"/>
          <w:bCs/>
          <w:i w:val="0"/>
          <w:caps w:val="0"/>
          <w:color w:val="333333"/>
          <w:spacing w:val="0"/>
          <w:sz w:val="32"/>
          <w:szCs w:val="32"/>
          <w:shd w:val="clear" w:color="090000" w:fill="FFFFFF"/>
        </w:rPr>
      </w:pPr>
      <w:r>
        <w:rPr>
          <w:rFonts w:hint="eastAsia" w:ascii="Times New Roman" w:hAnsi="Times New Roman" w:eastAsia="黑体" w:cs="Times New Roman"/>
          <w:b w:val="0"/>
          <w:bCs/>
          <w:i w:val="0"/>
          <w:caps w:val="0"/>
          <w:color w:val="333333"/>
          <w:spacing w:val="0"/>
          <w:sz w:val="32"/>
          <w:szCs w:val="32"/>
          <w:shd w:val="clear" w:color="090000" w:fill="FFFFFF"/>
          <w:lang w:val="en-US" w:eastAsia="zh-CN"/>
        </w:rPr>
        <w:t>一、</w:t>
      </w:r>
      <w:r>
        <w:rPr>
          <w:rFonts w:hint="default" w:ascii="Times New Roman" w:hAnsi="Times New Roman" w:eastAsia="黑体" w:cs="Times New Roman"/>
          <w:b w:val="0"/>
          <w:bCs/>
          <w:i w:val="0"/>
          <w:caps w:val="0"/>
          <w:color w:val="333333"/>
          <w:spacing w:val="0"/>
          <w:sz w:val="32"/>
          <w:szCs w:val="32"/>
          <w:shd w:val="clear" w:color="090000" w:fill="FFFFFF"/>
        </w:rPr>
        <w:t>总体情况</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i w:val="0"/>
          <w:caps w:val="0"/>
          <w:color w:val="333333"/>
          <w:spacing w:val="0"/>
          <w:sz w:val="32"/>
          <w:szCs w:val="32"/>
          <w:shd w:val="clear" w:color="080000" w:fill="FFFFFF"/>
        </w:rPr>
      </w:pPr>
      <w:r>
        <w:rPr>
          <w:rFonts w:hint="eastAsia" w:ascii="仿宋_GB2312" w:hAnsi="仿宋_GB2312" w:eastAsia="仿宋_GB2312" w:cs="仿宋_GB2312"/>
          <w:i w:val="0"/>
          <w:caps w:val="0"/>
          <w:color w:val="333333"/>
          <w:spacing w:val="0"/>
          <w:sz w:val="32"/>
          <w:szCs w:val="32"/>
          <w:shd w:val="clear" w:color="070000" w:fill="FFFFFF"/>
          <w:lang w:val="en-US" w:eastAsia="zh-CN"/>
        </w:rPr>
        <w:t>2021年，</w:t>
      </w:r>
      <w:r>
        <w:rPr>
          <w:rFonts w:hint="eastAsia" w:ascii="仿宋_GB2312" w:hAnsi="仿宋_GB2312" w:eastAsia="仿宋_GB2312" w:cs="仿宋_GB2312"/>
          <w:i w:val="0"/>
          <w:caps w:val="0"/>
          <w:color w:val="333333"/>
          <w:spacing w:val="0"/>
          <w:sz w:val="32"/>
          <w:szCs w:val="32"/>
          <w:highlight w:val="none"/>
          <w:shd w:val="clear" w:color="080000" w:fill="FFFFFF"/>
          <w:lang w:val="en-US" w:eastAsia="zh-CN"/>
        </w:rPr>
        <w:t>县审计局</w:t>
      </w:r>
      <w:r>
        <w:rPr>
          <w:rFonts w:hint="eastAsia" w:ascii="仿宋_GB2312" w:hAnsi="仿宋_GB2312" w:eastAsia="仿宋_GB2312" w:cs="仿宋_GB2312"/>
          <w:i w:val="0"/>
          <w:caps w:val="0"/>
          <w:color w:val="333333"/>
          <w:spacing w:val="0"/>
          <w:sz w:val="32"/>
          <w:szCs w:val="32"/>
          <w:shd w:val="clear" w:color="070000" w:fill="FFFFFF"/>
          <w:lang w:val="en-US" w:eastAsia="zh-CN"/>
        </w:rPr>
        <w:t>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2021年政务公开工作要点的通知》，把政府信息公开作为促进审计工作围绕中心、服务大局、科学发展的重要内容，贯彻公正、公平、便民、及时、准确的政府信息公开原则，完善各项制度，规范公开载体，更好地为公民、法人和其他组织提供政府信息公开服务。认真做好政府信息公开日常工作，主要包括：积极做好主动公开政府信息的维护、更新和报送工作；认真做好政府信息依申请公开工作；按规范编制并及时报送信息公开年度报告，审计工作透明度不断增强。2021年，我局主动公开政府信息数量为</w:t>
      </w:r>
      <w:r>
        <w:rPr>
          <w:rFonts w:hint="eastAsia" w:ascii="仿宋_GB2312" w:hAnsi="仿宋_GB2312" w:eastAsia="仿宋_GB2312" w:cs="仿宋_GB2312"/>
          <w:i w:val="0"/>
          <w:caps w:val="0"/>
          <w:color w:val="auto"/>
          <w:spacing w:val="0"/>
          <w:sz w:val="32"/>
          <w:szCs w:val="32"/>
          <w:shd w:val="clear" w:color="070000" w:fill="FFFFFF"/>
          <w:lang w:val="en-US" w:eastAsia="zh-CN"/>
        </w:rPr>
        <w:t>28</w:t>
      </w:r>
      <w:r>
        <w:rPr>
          <w:rFonts w:hint="eastAsia" w:ascii="仿宋_GB2312" w:hAnsi="仿宋_GB2312" w:eastAsia="仿宋_GB2312" w:cs="仿宋_GB2312"/>
          <w:i w:val="0"/>
          <w:caps w:val="0"/>
          <w:color w:val="333333"/>
          <w:spacing w:val="0"/>
          <w:sz w:val="32"/>
          <w:szCs w:val="32"/>
          <w:shd w:val="clear" w:color="070000" w:fill="FFFFFF"/>
          <w:lang w:val="en-US" w:eastAsia="zh-CN"/>
        </w:rPr>
        <w:t>条，其中</w:t>
      </w:r>
      <w:r>
        <w:rPr>
          <w:rFonts w:ascii="仿宋_GB2312" w:hAnsi="宋体" w:eastAsia="仿宋_GB2312" w:cs="仿宋_GB2312"/>
          <w:b w:val="0"/>
          <w:i w:val="0"/>
          <w:caps w:val="0"/>
          <w:color w:val="333333"/>
          <w:spacing w:val="0"/>
          <w:sz w:val="32"/>
          <w:szCs w:val="32"/>
        </w:rPr>
        <w:t>其中：机关职能类</w:t>
      </w:r>
      <w:r>
        <w:rPr>
          <w:rFonts w:hint="eastAsia" w:ascii="仿宋_GB2312" w:hAnsi="宋体" w:eastAsia="仿宋_GB2312" w:cs="仿宋_GB2312"/>
          <w:b w:val="0"/>
          <w:i w:val="0"/>
          <w:caps w:val="0"/>
          <w:color w:val="333333"/>
          <w:spacing w:val="0"/>
          <w:sz w:val="32"/>
          <w:szCs w:val="32"/>
          <w:lang w:val="en-US" w:eastAsia="zh-CN"/>
        </w:rPr>
        <w:t>1</w:t>
      </w:r>
      <w:r>
        <w:rPr>
          <w:rFonts w:hint="eastAsia" w:ascii="仿宋_GB2312" w:hAnsi="宋体" w:eastAsia="仿宋_GB2312" w:cs="仿宋_GB2312"/>
          <w:b w:val="0"/>
          <w:i w:val="0"/>
          <w:caps w:val="0"/>
          <w:color w:val="333333"/>
          <w:spacing w:val="0"/>
          <w:sz w:val="32"/>
          <w:szCs w:val="32"/>
        </w:rPr>
        <w:t>条；政策法规类</w:t>
      </w:r>
      <w:r>
        <w:rPr>
          <w:rFonts w:hint="eastAsia" w:ascii="仿宋_GB2312" w:hAnsi="宋体" w:eastAsia="仿宋_GB2312" w:cs="仿宋_GB2312"/>
          <w:b w:val="0"/>
          <w:i w:val="0"/>
          <w:caps w:val="0"/>
          <w:color w:val="333333"/>
          <w:spacing w:val="0"/>
          <w:sz w:val="32"/>
          <w:szCs w:val="32"/>
          <w:lang w:val="en-US" w:eastAsia="zh-CN"/>
        </w:rPr>
        <w:t>2</w:t>
      </w:r>
      <w:r>
        <w:rPr>
          <w:rFonts w:hint="eastAsia" w:ascii="仿宋_GB2312" w:hAnsi="宋体" w:eastAsia="仿宋_GB2312" w:cs="仿宋_GB2312"/>
          <w:b w:val="0"/>
          <w:i w:val="0"/>
          <w:caps w:val="0"/>
          <w:color w:val="333333"/>
          <w:spacing w:val="0"/>
          <w:sz w:val="32"/>
          <w:szCs w:val="32"/>
        </w:rPr>
        <w:t>条；工作动态类</w:t>
      </w:r>
      <w:r>
        <w:rPr>
          <w:rFonts w:hint="eastAsia" w:ascii="仿宋_GB2312" w:hAnsi="宋体" w:eastAsia="仿宋_GB2312" w:cs="仿宋_GB2312"/>
          <w:b w:val="0"/>
          <w:i w:val="0"/>
          <w:caps w:val="0"/>
          <w:color w:val="333333"/>
          <w:spacing w:val="0"/>
          <w:sz w:val="32"/>
          <w:szCs w:val="32"/>
          <w:lang w:val="en-US" w:eastAsia="zh-CN"/>
        </w:rPr>
        <w:t>22</w:t>
      </w:r>
      <w:r>
        <w:rPr>
          <w:rFonts w:hint="eastAsia" w:ascii="仿宋_GB2312" w:hAnsi="宋体" w:eastAsia="仿宋_GB2312" w:cs="仿宋_GB2312"/>
          <w:b w:val="0"/>
          <w:i w:val="0"/>
          <w:caps w:val="0"/>
          <w:color w:val="333333"/>
          <w:spacing w:val="0"/>
          <w:sz w:val="32"/>
          <w:szCs w:val="32"/>
        </w:rPr>
        <w:t>条；</w:t>
      </w:r>
      <w:r>
        <w:rPr>
          <w:rFonts w:hint="eastAsia" w:ascii="仿宋_GB2312" w:hAnsi="仿宋_GB2312" w:eastAsia="仿宋_GB2312" w:cs="仿宋_GB2312"/>
          <w:i w:val="0"/>
          <w:caps w:val="0"/>
          <w:color w:val="333333"/>
          <w:spacing w:val="0"/>
          <w:sz w:val="32"/>
          <w:szCs w:val="32"/>
          <w:shd w:val="clear" w:color="070000" w:fill="FFFFFF"/>
          <w:lang w:val="en-US" w:eastAsia="zh-CN"/>
        </w:rPr>
        <w:t>计划进度类信息</w:t>
      </w:r>
      <w:r>
        <w:rPr>
          <w:rFonts w:hint="eastAsia" w:ascii="仿宋_GB2312" w:hAnsi="仿宋_GB2312" w:eastAsia="仿宋_GB2312" w:cs="仿宋_GB2312"/>
          <w:i w:val="0"/>
          <w:caps w:val="0"/>
          <w:color w:val="auto"/>
          <w:spacing w:val="0"/>
          <w:sz w:val="32"/>
          <w:szCs w:val="32"/>
          <w:shd w:val="clear" w:color="070000" w:fill="FFFFFF"/>
          <w:lang w:val="en-US" w:eastAsia="zh-CN"/>
        </w:rPr>
        <w:t>1</w:t>
      </w:r>
      <w:r>
        <w:rPr>
          <w:rFonts w:hint="eastAsia" w:ascii="仿宋_GB2312" w:hAnsi="仿宋_GB2312" w:eastAsia="仿宋_GB2312" w:cs="仿宋_GB2312"/>
          <w:i w:val="0"/>
          <w:caps w:val="0"/>
          <w:color w:val="333333"/>
          <w:spacing w:val="0"/>
          <w:sz w:val="32"/>
          <w:szCs w:val="32"/>
          <w:shd w:val="clear" w:color="070000" w:fill="FFFFFF"/>
          <w:lang w:val="en-US" w:eastAsia="zh-CN"/>
        </w:rPr>
        <w:t>条，机构职能人事类信息</w:t>
      </w:r>
      <w:r>
        <w:rPr>
          <w:rFonts w:hint="eastAsia" w:ascii="仿宋_GB2312" w:hAnsi="仿宋_GB2312" w:eastAsia="仿宋_GB2312" w:cs="仿宋_GB2312"/>
          <w:i w:val="0"/>
          <w:caps w:val="0"/>
          <w:color w:val="auto"/>
          <w:spacing w:val="0"/>
          <w:sz w:val="32"/>
          <w:szCs w:val="32"/>
          <w:shd w:val="clear" w:color="070000" w:fill="FFFFFF"/>
          <w:lang w:val="en-US" w:eastAsia="zh-CN"/>
        </w:rPr>
        <w:t>1</w:t>
      </w:r>
      <w:r>
        <w:rPr>
          <w:rFonts w:hint="eastAsia" w:ascii="仿宋_GB2312" w:hAnsi="仿宋_GB2312" w:eastAsia="仿宋_GB2312" w:cs="仿宋_GB2312"/>
          <w:i w:val="0"/>
          <w:caps w:val="0"/>
          <w:color w:val="333333"/>
          <w:spacing w:val="0"/>
          <w:sz w:val="32"/>
          <w:szCs w:val="32"/>
          <w:shd w:val="clear" w:color="070000" w:fill="FFFFFF"/>
          <w:lang w:val="en-US" w:eastAsia="zh-CN"/>
        </w:rPr>
        <w:t>条，预决算公开信息</w:t>
      </w:r>
      <w:r>
        <w:rPr>
          <w:rFonts w:hint="eastAsia" w:ascii="仿宋_GB2312" w:hAnsi="仿宋_GB2312" w:eastAsia="仿宋_GB2312" w:cs="仿宋_GB2312"/>
          <w:i w:val="0"/>
          <w:caps w:val="0"/>
          <w:color w:val="auto"/>
          <w:spacing w:val="0"/>
          <w:sz w:val="32"/>
          <w:szCs w:val="32"/>
          <w:shd w:val="clear" w:color="070000" w:fill="FFFFFF"/>
          <w:lang w:val="en-US" w:eastAsia="zh-CN"/>
        </w:rPr>
        <w:t>1</w:t>
      </w:r>
      <w:r>
        <w:rPr>
          <w:rFonts w:hint="eastAsia" w:ascii="仿宋_GB2312" w:hAnsi="仿宋_GB2312" w:eastAsia="仿宋_GB2312" w:cs="仿宋_GB2312"/>
          <w:i w:val="0"/>
          <w:caps w:val="0"/>
          <w:color w:val="333333"/>
          <w:spacing w:val="0"/>
          <w:sz w:val="32"/>
          <w:szCs w:val="32"/>
          <w:shd w:val="clear" w:color="070000" w:fill="FFFFFF"/>
          <w:lang w:val="en-US" w:eastAsia="zh-CN"/>
        </w:rPr>
        <w:t>条；未接到政府信息依申请公开的相关申请；未发生政府信息公开行政复议或行政诉讼。</w:t>
      </w:r>
    </w:p>
    <w:p>
      <w:pPr>
        <w:widowControl w:val="0"/>
        <w:wordWrap/>
        <w:adjustRightInd w:val="0"/>
        <w:snapToGrid w:val="0"/>
        <w:spacing w:line="360" w:lineRule="auto"/>
        <w:ind w:firstLine="640" w:firstLineChars="200"/>
        <w:textAlignment w:val="auto"/>
        <w:outlineLvl w:val="0"/>
        <w:rPr>
          <w:rFonts w:hint="eastAsia" w:ascii="黑体" w:hAnsi="黑体" w:eastAsia="黑体" w:cs="黑体"/>
          <w:b w:val="0"/>
          <w:bCs/>
          <w:i w:val="0"/>
          <w:caps w:val="0"/>
          <w:color w:val="333333"/>
          <w:spacing w:val="0"/>
          <w:sz w:val="32"/>
          <w:szCs w:val="32"/>
          <w:shd w:val="clear" w:color="080000" w:fill="FFFFFF"/>
        </w:rPr>
      </w:pPr>
      <w:r>
        <w:rPr>
          <w:rFonts w:hint="eastAsia" w:ascii="黑体" w:hAnsi="黑体" w:eastAsia="黑体" w:cs="黑体"/>
          <w:b w:val="0"/>
          <w:bCs/>
          <w:i w:val="0"/>
          <w:caps w:val="0"/>
          <w:color w:val="333333"/>
          <w:spacing w:val="0"/>
          <w:sz w:val="32"/>
          <w:szCs w:val="32"/>
          <w:shd w:val="clear" w:color="080000" w:fill="FFFFFF"/>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本年新</w:t>
            </w:r>
            <w:r>
              <w:rPr>
                <w:rFonts w:hint="default" w:ascii="Times New Roman" w:hAnsi="Times New Roman" w:eastAsia="宋体" w:cs="Times New Roman"/>
                <w:kern w:val="0"/>
                <w:sz w:val="21"/>
                <w:szCs w:val="21"/>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本年新</w:t>
            </w:r>
            <w:r>
              <w:rPr>
                <w:rFonts w:hint="default" w:ascii="Times New Roman" w:hAnsi="Times New Roman" w:eastAsia="宋体" w:cs="Times New Roman"/>
                <w:kern w:val="0"/>
                <w:sz w:val="21"/>
                <w:szCs w:val="21"/>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eastAsia"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0</w:t>
            </w:r>
          </w:p>
        </w:tc>
      </w:tr>
    </w:tbl>
    <w:p>
      <w:pPr>
        <w:widowControl w:val="0"/>
        <w:wordWrap/>
        <w:adjustRightInd w:val="0"/>
        <w:snapToGrid w:val="0"/>
        <w:spacing w:line="360" w:lineRule="auto"/>
        <w:textAlignment w:val="auto"/>
        <w:outlineLvl w:val="0"/>
        <w:rPr>
          <w:rFonts w:hint="eastAsia" w:ascii="黑体" w:hAnsi="黑体" w:eastAsia="黑体" w:cs="黑体"/>
          <w:b w:val="0"/>
          <w:bCs/>
          <w:i w:val="0"/>
          <w:caps w:val="0"/>
          <w:color w:val="333333"/>
          <w:spacing w:val="0"/>
          <w:sz w:val="32"/>
          <w:szCs w:val="32"/>
          <w:shd w:val="clear" w:color="080000" w:fill="FFFFFF"/>
        </w:rPr>
      </w:pPr>
      <w:r>
        <w:rPr>
          <w:rFonts w:hint="eastAsia" w:ascii="黑体" w:hAnsi="黑体" w:eastAsia="黑体" w:cs="黑体"/>
          <w:b w:val="0"/>
          <w:bCs/>
          <w:i w:val="0"/>
          <w:caps w:val="0"/>
          <w:color w:val="333333"/>
          <w:spacing w:val="0"/>
          <w:sz w:val="32"/>
          <w:szCs w:val="32"/>
          <w:shd w:val="clear" w:color="080000"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56"/>
        <w:gridCol w:w="1266"/>
        <w:gridCol w:w="1759"/>
        <w:gridCol w:w="733"/>
        <w:gridCol w:w="687"/>
        <w:gridCol w:w="687"/>
        <w:gridCol w:w="733"/>
        <w:gridCol w:w="860"/>
        <w:gridCol w:w="652"/>
        <w:gridCol w:w="6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（本列数据的勾稽关系为：第一项加第二项之和，等于第三项加第四项之和）</w:t>
            </w:r>
          </w:p>
        </w:tc>
        <w:tc>
          <w:tcPr>
            <w:tcW w:w="4990"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3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自然人</w:t>
            </w:r>
          </w:p>
        </w:tc>
        <w:tc>
          <w:tcPr>
            <w:tcW w:w="3619"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法人或其他组织</w:t>
            </w:r>
          </w:p>
        </w:tc>
        <w:tc>
          <w:tcPr>
            <w:tcW w:w="63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2"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3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商业企业</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科研机构</w:t>
            </w:r>
          </w:p>
        </w:tc>
        <w:tc>
          <w:tcPr>
            <w:tcW w:w="73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社会公益组织</w:t>
            </w:r>
          </w:p>
        </w:tc>
        <w:tc>
          <w:tcPr>
            <w:tcW w:w="860"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法律服务机构</w:t>
            </w:r>
          </w:p>
        </w:tc>
        <w:tc>
          <w:tcPr>
            <w:tcW w:w="652"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其他</w:t>
            </w:r>
          </w:p>
        </w:tc>
        <w:tc>
          <w:tcPr>
            <w:tcW w:w="63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4" w:hRule="atLeast"/>
          <w:jc w:val="center"/>
        </w:trPr>
        <w:tc>
          <w:tcPr>
            <w:tcW w:w="4081"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一、本年新收政府信息公开申请数量</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7" w:hRule="atLeast"/>
          <w:jc w:val="center"/>
        </w:trPr>
        <w:tc>
          <w:tcPr>
            <w:tcW w:w="4081"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二、上年结转政府信息公开申请数量</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三、本年度办理结果</w:t>
            </w:r>
          </w:p>
        </w:tc>
        <w:tc>
          <w:tcPr>
            <w:tcW w:w="302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（一）予以公开</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302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（二）部分公开（区分处理的，只计这一情形，不计其他情形）</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（三）不予公开</w:t>
            </w: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1.属于国家秘密</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2.其他法律行政法规禁止公开</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3.危及“三安全一稳定”</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9" w:hRule="atLeast"/>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4.保护第三方合法权益</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5.属于三类内部事务信息</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6.属于四类过程性信息</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7.属于行政执法案卷</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9" w:hRule="atLeast"/>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8.属于行政查询事项</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（四）无法提供</w:t>
            </w: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1.本机关不掌握相关政府信息</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eastAsia="宋体" w:cs="Times New Roman"/>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2.没有现成信息需要另行制作</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3.补正后申请内容仍不明确</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（五）不予处理</w:t>
            </w: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1.信访举报投诉类申请</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2.重复申请</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3.要求提供公开出版物</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4.无正当理由大量反复申请</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5.要求行政机关确认或重新出具已获取信息</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302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（六）其他处理</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302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rPr>
              <w:t>（七）总计</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rPr>
              <w:t>四、结转下年度继续办理</w:t>
            </w: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3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86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eastAsia="宋体" w:cs="Times New Roman"/>
                <w:kern w:val="2"/>
                <w:sz w:val="22"/>
                <w:szCs w:val="28"/>
                <w:lang w:val="en-US" w:eastAsia="zh-CN" w:bidi="ar-SA"/>
              </w:rPr>
            </w:pPr>
            <w:r>
              <w:rPr>
                <w:rFonts w:hint="eastAsia" w:ascii="Times New Roman" w:hAnsi="Times New Roman" w:cs="Times New Roman"/>
                <w:sz w:val="22"/>
                <w:szCs w:val="28"/>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left"/>
        <w:rPr>
          <w:rStyle w:val="5"/>
          <w:rFonts w:hint="eastAsia" w:ascii="宋体" w:hAnsi="宋体" w:eastAsia="宋体" w:cs="宋体"/>
          <w:b/>
          <w:i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left"/>
        <w:rPr>
          <w:rFonts w:hint="eastAsia" w:ascii="黑体" w:hAnsi="黑体" w:eastAsia="黑体" w:cs="黑体"/>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sz w:val="32"/>
          <w:szCs w:val="32"/>
          <w:u w:val="none"/>
        </w:rPr>
        <w:t>四、政府信息公开行政复议、行政诉讼情况</w:t>
      </w:r>
    </w:p>
    <w:tbl>
      <w:tblPr>
        <w:tblStyle w:val="3"/>
        <w:tblW w:w="907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2"/>
        <w:gridCol w:w="602"/>
        <w:gridCol w:w="603"/>
        <w:gridCol w:w="605"/>
        <w:gridCol w:w="663"/>
        <w:gridCol w:w="556"/>
        <w:gridCol w:w="599"/>
        <w:gridCol w:w="601"/>
        <w:gridCol w:w="599"/>
        <w:gridCol w:w="615"/>
        <w:gridCol w:w="599"/>
        <w:gridCol w:w="601"/>
        <w:gridCol w:w="599"/>
        <w:gridCol w:w="601"/>
        <w:gridCol w:w="6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694" w:type="pct"/>
            <w:gridSpan w:val="5"/>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行政复议</w:t>
            </w:r>
          </w:p>
        </w:tc>
        <w:tc>
          <w:tcPr>
            <w:tcW w:w="3305" w:type="pct"/>
            <w:gridSpan w:val="10"/>
            <w:tcBorders>
              <w:top w:val="single" w:color="000000" w:sz="6" w:space="0"/>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行政诉讼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00" w:type="dxa"/>
            <w:vMerge w:val="restart"/>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结果维持</w:t>
            </w:r>
          </w:p>
        </w:tc>
        <w:tc>
          <w:tcPr>
            <w:tcW w:w="600" w:type="dxa"/>
            <w:vMerge w:val="restart"/>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结果纠正</w:t>
            </w:r>
          </w:p>
        </w:tc>
        <w:tc>
          <w:tcPr>
            <w:tcW w:w="600" w:type="dxa"/>
            <w:vMerge w:val="restart"/>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其他结果</w:t>
            </w:r>
          </w:p>
        </w:tc>
        <w:tc>
          <w:tcPr>
            <w:tcW w:w="600" w:type="dxa"/>
            <w:vMerge w:val="restart"/>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尚未审结</w:t>
            </w:r>
          </w:p>
        </w:tc>
        <w:tc>
          <w:tcPr>
            <w:tcW w:w="660" w:type="dxa"/>
            <w:vMerge w:val="restart"/>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总计</w:t>
            </w:r>
          </w:p>
        </w:tc>
        <w:tc>
          <w:tcPr>
            <w:tcW w:w="2970" w:type="dxa"/>
            <w:gridSpan w:val="5"/>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未经复议直接起诉</w:t>
            </w:r>
          </w:p>
        </w:tc>
        <w:tc>
          <w:tcPr>
            <w:tcW w:w="3030" w:type="dxa"/>
            <w:gridSpan w:val="5"/>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复议后起诉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jc w:val="center"/>
              <w:rPr>
                <w:rFonts w:hint="default" w:ascii="&amp;quot" w:hAnsi="&amp;quot" w:eastAsia="&amp;quot" w:cs="&amp;quot"/>
                <w:b w:val="0"/>
                <w:i w:val="0"/>
                <w:caps w:val="0"/>
                <w:color w:val="000000"/>
                <w:spacing w:val="0"/>
                <w:sz w:val="24"/>
                <w:szCs w:val="24"/>
                <w:u w:val="none"/>
              </w:rPr>
            </w:pPr>
          </w:p>
        </w:tc>
        <w:tc>
          <w:tcPr>
            <w:tcW w:w="600" w:type="dxa"/>
            <w:vMerge w:val="continue"/>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jc w:val="center"/>
              <w:rPr>
                <w:rFonts w:hint="default" w:ascii="&amp;quot" w:hAnsi="&amp;quot" w:eastAsia="&amp;quot" w:cs="&amp;quot"/>
                <w:b w:val="0"/>
                <w:i w:val="0"/>
                <w:caps w:val="0"/>
                <w:color w:val="000000"/>
                <w:spacing w:val="0"/>
                <w:sz w:val="24"/>
                <w:szCs w:val="24"/>
                <w:u w:val="none"/>
              </w:rPr>
            </w:pPr>
          </w:p>
        </w:tc>
        <w:tc>
          <w:tcPr>
            <w:tcW w:w="600" w:type="dxa"/>
            <w:vMerge w:val="continue"/>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jc w:val="center"/>
              <w:rPr>
                <w:rFonts w:hint="default" w:ascii="&amp;quot" w:hAnsi="&amp;quot" w:eastAsia="&amp;quot" w:cs="&amp;quot"/>
                <w:b w:val="0"/>
                <w:i w:val="0"/>
                <w:caps w:val="0"/>
                <w:color w:val="000000"/>
                <w:spacing w:val="0"/>
                <w:sz w:val="24"/>
                <w:szCs w:val="24"/>
                <w:u w:val="none"/>
              </w:rPr>
            </w:pPr>
          </w:p>
        </w:tc>
        <w:tc>
          <w:tcPr>
            <w:tcW w:w="600" w:type="dxa"/>
            <w:vMerge w:val="continue"/>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jc w:val="center"/>
              <w:rPr>
                <w:rFonts w:hint="default" w:ascii="&amp;quot" w:hAnsi="&amp;quot" w:eastAsia="&amp;quot" w:cs="&amp;quot"/>
                <w:b w:val="0"/>
                <w:i w:val="0"/>
                <w:caps w:val="0"/>
                <w:color w:val="000000"/>
                <w:spacing w:val="0"/>
                <w:sz w:val="24"/>
                <w:szCs w:val="24"/>
                <w:u w:val="none"/>
              </w:rPr>
            </w:pPr>
          </w:p>
        </w:tc>
        <w:tc>
          <w:tcPr>
            <w:tcW w:w="660" w:type="dxa"/>
            <w:vMerge w:val="continue"/>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jc w:val="center"/>
              <w:rPr>
                <w:rFonts w:hint="default" w:ascii="&amp;quot" w:hAnsi="&amp;quot" w:eastAsia="&amp;quot" w:cs="&amp;quot"/>
                <w:b w:val="0"/>
                <w:i w:val="0"/>
                <w:caps w:val="0"/>
                <w:color w:val="000000"/>
                <w:spacing w:val="0"/>
                <w:sz w:val="24"/>
                <w:szCs w:val="24"/>
                <w:u w:val="none"/>
              </w:rPr>
            </w:pPr>
          </w:p>
        </w:tc>
        <w:tc>
          <w:tcPr>
            <w:tcW w:w="555"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结果维持</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结果纠正</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其他结果</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尚未审结</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总计</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结果维持</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结果纠正</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其他结果</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尚未审结</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b w:val="0"/>
              </w:rPr>
            </w:pPr>
            <w:r>
              <w:rPr>
                <w:rFonts w:hint="default" w:ascii="&amp;quot" w:hAnsi="&amp;quot" w:eastAsia="&amp;quot" w:cs="&amp;quot"/>
                <w:b w:val="0"/>
                <w:i w:val="0"/>
                <w:caps w:val="0"/>
                <w:color w:val="000000"/>
                <w:spacing w:val="0"/>
                <w:sz w:val="24"/>
                <w:szCs w:val="24"/>
                <w:u w:val="none"/>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00"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amp;quot" w:hAnsi="&amp;quot" w:eastAsia="宋体" w:cs="&amp;quot"/>
                <w:b w:val="0"/>
                <w:i w:val="0"/>
                <w:caps w:val="0"/>
                <w:color w:val="000000"/>
                <w:spacing w:val="0"/>
                <w:sz w:val="24"/>
                <w:szCs w:val="24"/>
                <w:u w:val="none"/>
                <w:lang w:val="en-US" w:eastAsia="zh-CN"/>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amp;quot" w:hAnsi="&amp;quot" w:eastAsia="宋体" w:cs="&amp;quot"/>
                <w:b w:val="0"/>
                <w:i w:val="0"/>
                <w:caps w:val="0"/>
                <w:color w:val="000000"/>
                <w:spacing w:val="0"/>
                <w:sz w:val="24"/>
                <w:szCs w:val="24"/>
                <w:u w:val="none"/>
                <w:lang w:val="en-US" w:eastAsia="zh-CN"/>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6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555"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c>
          <w:tcPr>
            <w:tcW w:w="600"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jc w:val="left"/>
              <w:rPr>
                <w:rFonts w:hint="default" w:ascii="&amp;quot" w:hAnsi="&amp;quot" w:eastAsia="&amp;quot" w:cs="&amp;quot"/>
                <w:b w:val="0"/>
                <w:i w:val="0"/>
                <w:caps w:val="0"/>
                <w:color w:val="000000"/>
                <w:spacing w:val="0"/>
                <w:sz w:val="24"/>
                <w:szCs w:val="24"/>
                <w:u w:val="none"/>
              </w:rPr>
            </w:pPr>
            <w:r>
              <w:rPr>
                <w:rFonts w:hint="eastAsia" w:ascii="Times New Roman" w:hAnsi="Times New Roman" w:cs="Times New Roman"/>
                <w:sz w:val="22"/>
                <w:szCs w:val="28"/>
                <w:lang w:val="en-US" w:eastAsia="zh-CN"/>
              </w:rPr>
              <w:t>0</w:t>
            </w:r>
          </w:p>
        </w:tc>
      </w:tr>
    </w:tbl>
    <w:p>
      <w:pPr>
        <w:widowControl w:val="0"/>
        <w:wordWrap/>
        <w:adjustRightInd w:val="0"/>
        <w:snapToGrid w:val="0"/>
        <w:spacing w:line="360" w:lineRule="auto"/>
        <w:textAlignment w:val="auto"/>
        <w:outlineLvl w:val="0"/>
        <w:rPr>
          <w:rFonts w:hint="default" w:ascii="Times New Roman" w:hAnsi="Times New Roman" w:eastAsia="宋体" w:cs="Times New Roman"/>
          <w:b/>
          <w:i w:val="0"/>
          <w:caps w:val="0"/>
          <w:color w:val="333333"/>
          <w:spacing w:val="0"/>
          <w:sz w:val="32"/>
          <w:szCs w:val="32"/>
          <w:shd w:val="clear" w:color="080000" w:fill="FFFFFF"/>
        </w:rPr>
      </w:pPr>
    </w:p>
    <w:p>
      <w:pPr>
        <w:widowControl w:val="0"/>
        <w:wordWrap/>
        <w:adjustRightInd w:val="0"/>
        <w:snapToGrid w:val="0"/>
        <w:spacing w:line="360" w:lineRule="auto"/>
        <w:ind w:firstLine="640" w:firstLineChars="200"/>
        <w:textAlignment w:val="auto"/>
        <w:outlineLvl w:val="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080000" w:fill="FFFFFF"/>
        </w:rPr>
        <w:t>五、存在的主要问题及改进情况</w:t>
      </w:r>
    </w:p>
    <w:p>
      <w:pPr>
        <w:pStyle w:val="6"/>
        <w:widowControl/>
        <w:pBdr>
          <w:top w:val="none" w:color="auto" w:sz="0" w:space="0"/>
          <w:left w:val="none" w:color="auto" w:sz="0" w:space="0"/>
          <w:bottom w:val="none" w:color="auto" w:sz="0" w:space="0"/>
          <w:right w:val="none" w:color="auto" w:sz="0" w:space="0"/>
        </w:pBdr>
        <w:shd w:val="clear" w:color="070000" w:fill="FFFFFF"/>
        <w:wordWrap/>
        <w:adjustRightInd w:val="0"/>
        <w:snapToGrid w:val="0"/>
        <w:spacing w:before="0" w:beforeAutospacing="0" w:after="0" w:afterAutospacing="0" w:line="360" w:lineRule="auto"/>
        <w:ind w:right="0" w:firstLine="643" w:firstLineChars="200"/>
        <w:jc w:val="both"/>
        <w:textAlignment w:val="auto"/>
        <w:rPr>
          <w:rFonts w:hint="eastAsia" w:ascii="仿宋_GB2312" w:hAnsi="仿宋_GB2312" w:eastAsia="仿宋_GB2312" w:cs="仿宋_GB2312"/>
          <w:b/>
          <w:bCs/>
          <w:i w:val="0"/>
          <w:caps w:val="0"/>
          <w:color w:val="333333"/>
          <w:spacing w:val="0"/>
          <w:sz w:val="32"/>
          <w:szCs w:val="32"/>
          <w:shd w:val="clear" w:color="070000" w:fill="FFFFFF"/>
          <w:lang w:eastAsia="zh-CN"/>
        </w:rPr>
      </w:pPr>
      <w:r>
        <w:rPr>
          <w:rFonts w:hint="eastAsia" w:ascii="仿宋_GB2312" w:hAnsi="仿宋_GB2312" w:eastAsia="仿宋_GB2312" w:cs="仿宋_GB2312"/>
          <w:b/>
          <w:bCs/>
          <w:i w:val="0"/>
          <w:caps w:val="0"/>
          <w:color w:val="333333"/>
          <w:spacing w:val="0"/>
          <w:sz w:val="32"/>
          <w:szCs w:val="32"/>
          <w:shd w:val="clear" w:color="070000" w:fill="FFFFFF"/>
          <w:lang w:val="en-US" w:eastAsia="zh-CN"/>
        </w:rPr>
        <w:t>1、2021年政府信息公开工作中存在的</w:t>
      </w:r>
      <w:r>
        <w:rPr>
          <w:rFonts w:hint="eastAsia" w:ascii="仿宋_GB2312" w:hAnsi="仿宋_GB2312" w:eastAsia="仿宋_GB2312" w:cs="仿宋_GB2312"/>
          <w:b/>
          <w:bCs/>
          <w:i w:val="0"/>
          <w:caps w:val="0"/>
          <w:color w:val="333333"/>
          <w:spacing w:val="0"/>
          <w:sz w:val="32"/>
          <w:szCs w:val="32"/>
          <w:shd w:val="clear" w:color="070000" w:fill="FFFFFF"/>
          <w:lang w:eastAsia="zh-CN"/>
        </w:rPr>
        <w:t>主要问题</w:t>
      </w:r>
    </w:p>
    <w:p>
      <w:pPr>
        <w:pStyle w:val="6"/>
        <w:widowControl/>
        <w:pBdr>
          <w:top w:val="none" w:color="auto" w:sz="0" w:space="0"/>
          <w:left w:val="none" w:color="auto" w:sz="0" w:space="0"/>
          <w:bottom w:val="none" w:color="auto" w:sz="0" w:space="0"/>
          <w:right w:val="none" w:color="auto" w:sz="0" w:space="0"/>
        </w:pBdr>
        <w:shd w:val="clear" w:color="070000" w:fill="FFFFFF"/>
        <w:wordWrap/>
        <w:adjustRightInd w:val="0"/>
        <w:snapToGrid w:val="0"/>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070000" w:fill="FFFFFF"/>
          <w:lang w:eastAsia="zh-CN"/>
        </w:rPr>
      </w:pPr>
      <w:r>
        <w:rPr>
          <w:rFonts w:hint="eastAsia" w:ascii="仿宋_GB2312" w:hAnsi="仿宋_GB2312" w:eastAsia="仿宋_GB2312" w:cs="仿宋_GB2312"/>
          <w:i w:val="0"/>
          <w:caps w:val="0"/>
          <w:color w:val="333333"/>
          <w:spacing w:val="0"/>
          <w:sz w:val="32"/>
          <w:szCs w:val="32"/>
          <w:shd w:val="clear" w:color="070000" w:fill="FFFFFF"/>
          <w:lang w:eastAsia="zh-CN"/>
        </w:rPr>
        <w:t>在2021年政府信息公开工作中，虽然取得了一定的成绩，但与上级要求还存在一些差距，表现在：一是政府信息公开方式单一化、陈旧化，与真正畅通联系群众“最后一公里”还有较大距离。二</w:t>
      </w:r>
      <w:bookmarkStart w:id="0" w:name="_GoBack"/>
      <w:bookmarkEnd w:id="0"/>
      <w:r>
        <w:rPr>
          <w:rFonts w:hint="eastAsia" w:ascii="仿宋_GB2312" w:hAnsi="仿宋_GB2312" w:eastAsia="仿宋_GB2312" w:cs="仿宋_GB2312"/>
          <w:i w:val="0"/>
          <w:caps w:val="0"/>
          <w:color w:val="333333"/>
          <w:spacing w:val="0"/>
          <w:sz w:val="32"/>
          <w:szCs w:val="32"/>
          <w:shd w:val="clear" w:color="070000" w:fill="FFFFFF"/>
          <w:lang w:eastAsia="zh-CN"/>
        </w:rPr>
        <w:t>是公开工作队伍能力建设不够，公开队伍整体的专业化、理论化水平不高。</w:t>
      </w:r>
    </w:p>
    <w:p>
      <w:pPr>
        <w:pStyle w:val="6"/>
        <w:widowControl/>
        <w:pBdr>
          <w:top w:val="none" w:color="auto" w:sz="0" w:space="0"/>
          <w:left w:val="none" w:color="auto" w:sz="0" w:space="0"/>
          <w:bottom w:val="none" w:color="auto" w:sz="0" w:space="0"/>
          <w:right w:val="none" w:color="auto" w:sz="0" w:space="0"/>
        </w:pBdr>
        <w:shd w:val="clear" w:color="070000" w:fill="FFFFFF"/>
        <w:wordWrap/>
        <w:adjustRightInd w:val="0"/>
        <w:snapToGrid w:val="0"/>
        <w:spacing w:before="0" w:beforeAutospacing="0" w:after="0" w:afterAutospacing="0" w:line="360"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shd w:val="clear" w:color="070000" w:fill="FFFFFF"/>
          <w:lang w:eastAsia="zh-CN"/>
        </w:rPr>
      </w:pPr>
      <w:r>
        <w:rPr>
          <w:rFonts w:hint="eastAsia" w:ascii="仿宋_GB2312" w:hAnsi="仿宋_GB2312" w:eastAsia="仿宋_GB2312" w:cs="仿宋_GB2312"/>
          <w:b/>
          <w:bCs/>
          <w:i w:val="0"/>
          <w:caps w:val="0"/>
          <w:color w:val="333333"/>
          <w:spacing w:val="0"/>
          <w:sz w:val="32"/>
          <w:szCs w:val="32"/>
          <w:shd w:val="clear" w:color="070000" w:fill="FFFFFF"/>
          <w:lang w:val="en-US" w:eastAsia="zh-CN"/>
        </w:rPr>
        <w:t>2、</w:t>
      </w:r>
      <w:r>
        <w:rPr>
          <w:rFonts w:hint="eastAsia" w:ascii="仿宋_GB2312" w:hAnsi="仿宋_GB2312" w:eastAsia="仿宋_GB2312" w:cs="仿宋_GB2312"/>
          <w:b/>
          <w:bCs/>
          <w:i w:val="0"/>
          <w:caps w:val="0"/>
          <w:color w:val="333333"/>
          <w:spacing w:val="0"/>
          <w:sz w:val="32"/>
          <w:szCs w:val="32"/>
          <w:shd w:val="clear" w:color="070000" w:fill="FFFFFF"/>
          <w:lang w:eastAsia="zh-CN"/>
        </w:rPr>
        <w:t>改进措施</w:t>
      </w:r>
    </w:p>
    <w:p>
      <w:pPr>
        <w:pStyle w:val="6"/>
        <w:widowControl/>
        <w:pBdr>
          <w:top w:val="none" w:color="auto" w:sz="0" w:space="0"/>
          <w:left w:val="none" w:color="auto" w:sz="0" w:space="0"/>
          <w:bottom w:val="none" w:color="auto" w:sz="0" w:space="0"/>
          <w:right w:val="none" w:color="auto" w:sz="0" w:space="0"/>
        </w:pBdr>
        <w:shd w:val="clear" w:color="070000" w:fill="FFFFFF"/>
        <w:wordWrap/>
        <w:adjustRightInd w:val="0"/>
        <w:snapToGrid w:val="0"/>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bCs/>
          <w:i w:val="0"/>
          <w:caps w:val="0"/>
          <w:color w:val="333333"/>
          <w:spacing w:val="0"/>
          <w:sz w:val="32"/>
          <w:szCs w:val="32"/>
          <w:shd w:val="clear" w:color="070000" w:fill="FFFFFF"/>
          <w:lang w:eastAsia="zh-CN"/>
        </w:rPr>
      </w:pPr>
      <w:r>
        <w:rPr>
          <w:rFonts w:hint="eastAsia" w:ascii="仿宋_GB2312" w:hAnsi="仿宋_GB2312" w:eastAsia="仿宋_GB2312" w:cs="仿宋_GB2312"/>
          <w:i w:val="0"/>
          <w:caps w:val="0"/>
          <w:color w:val="333333"/>
          <w:spacing w:val="0"/>
          <w:sz w:val="32"/>
          <w:szCs w:val="32"/>
          <w:shd w:val="clear" w:color="070000" w:fill="FFFFFF"/>
          <w:lang w:eastAsia="zh-CN"/>
        </w:rPr>
        <w:t>今后我们将重点抓好以下几个方面的工作：一是进一步健全完善公开制度体系，推进政府信息公开标准化建设，继续完善更新全省政府信息公开基本目录。二是强化审计信息公开。主动及时向社会公告审计结果、审计报告、全县审计工作会议、审计项目进点及审计相关情况等信息，畅通政民沟通互动渠道，及时向社会发布财政预决算及“三公”经费、部门项目信息及招标采购等相关信息。三是着力加强公开工作队伍建设。充实人员力量，保障必要的经费、设备等工作条件。积极参加信息公开培训，切实提高人员队伍的综合素质和业务能力。</w:t>
      </w:r>
    </w:p>
    <w:p>
      <w:pPr>
        <w:widowControl w:val="0"/>
        <w:wordWrap/>
        <w:adjustRightInd w:val="0"/>
        <w:snapToGrid w:val="0"/>
        <w:spacing w:line="360" w:lineRule="auto"/>
        <w:ind w:firstLine="640" w:firstLineChars="200"/>
        <w:textAlignment w:val="auto"/>
        <w:outlineLvl w:val="0"/>
        <w:rPr>
          <w:rFonts w:hint="eastAsia" w:ascii="黑体" w:hAnsi="黑体" w:eastAsia="黑体" w:cs="黑体"/>
          <w:b w:val="0"/>
          <w:bCs/>
          <w:i w:val="0"/>
          <w:caps w:val="0"/>
          <w:color w:val="333333"/>
          <w:spacing w:val="0"/>
          <w:sz w:val="32"/>
          <w:szCs w:val="32"/>
          <w:shd w:val="clear" w:color="080000" w:fill="FFFFFF"/>
        </w:rPr>
      </w:pPr>
      <w:r>
        <w:rPr>
          <w:rFonts w:hint="eastAsia" w:ascii="黑体" w:hAnsi="黑体" w:eastAsia="黑体" w:cs="黑体"/>
          <w:b w:val="0"/>
          <w:bCs/>
          <w:i w:val="0"/>
          <w:caps w:val="0"/>
          <w:color w:val="333333"/>
          <w:spacing w:val="0"/>
          <w:sz w:val="32"/>
          <w:szCs w:val="32"/>
          <w:shd w:val="clear" w:color="080000" w:fill="FFFFFF"/>
        </w:rPr>
        <w:t>六、其他需要报告的事项</w:t>
      </w:r>
    </w:p>
    <w:p>
      <w:pPr>
        <w:pStyle w:val="6"/>
        <w:widowControl/>
        <w:pBdr>
          <w:top w:val="none" w:color="auto" w:sz="0" w:space="0"/>
          <w:left w:val="none" w:color="auto" w:sz="0" w:space="0"/>
          <w:bottom w:val="none" w:color="auto" w:sz="0" w:space="0"/>
          <w:right w:val="none" w:color="auto" w:sz="0" w:space="0"/>
        </w:pBdr>
        <w:shd w:val="clear" w:color="070000" w:fill="FFFFFF"/>
        <w:wordWrap/>
        <w:adjustRightInd w:val="0"/>
        <w:snapToGrid w:val="0"/>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333333"/>
          <w:spacing w:val="0"/>
          <w:sz w:val="32"/>
          <w:szCs w:val="32"/>
          <w:shd w:val="clear" w:color="070000" w:fill="FFFFFF"/>
          <w:lang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194109"/>
    <w:rsid w:val="21802C97"/>
    <w:rsid w:val="21B866E0"/>
    <w:rsid w:val="289B035C"/>
    <w:rsid w:val="2C8963D8"/>
    <w:rsid w:val="30A9529E"/>
    <w:rsid w:val="3BA802B8"/>
    <w:rsid w:val="7ADF01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幻影年轮</cp:lastModifiedBy>
  <dcterms:modified xsi:type="dcterms:W3CDTF">2022-01-11T08:45:45Z</dcterms:modified>
  <dc:title>Supercindyિ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239635297_btnclosed</vt:lpwstr>
  </property>
</Properties>
</file>