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cs="Times New Roman"/>
          <w:b/>
          <w:bCs/>
        </w:rPr>
      </w:pPr>
    </w:p>
    <w:p>
      <w:pPr>
        <w:widowControl/>
        <w:spacing w:line="600" w:lineRule="exact"/>
        <w:jc w:val="center"/>
        <w:rPr>
          <w:rFonts w:ascii="仿宋_GB2312" w:hAnsi="宋体" w:cs="Times New Roman"/>
          <w:kern w:val="0"/>
        </w:rPr>
      </w:pPr>
    </w:p>
    <w:p>
      <w:pPr>
        <w:widowControl/>
        <w:spacing w:line="600" w:lineRule="exact"/>
        <w:jc w:val="center"/>
        <w:rPr>
          <w:rFonts w:ascii="仿宋_GB2312" w:hAnsi="宋体" w:cs="Times New Roman"/>
          <w:ker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仿宋_GB2312" w:hAnsi="宋体" w:cs="Times New Roman"/>
          <w:kern w:val="0"/>
        </w:rPr>
      </w:pPr>
      <w:r>
        <w:rPr>
          <w:rFonts w:hint="eastAsia" w:ascii="宋体" w:hAnsi="宋体" w:eastAsia="宋体" w:cs="宋体"/>
          <w:b/>
          <w:bCs/>
          <w:color w:val="FF0000"/>
          <w:w w:val="80"/>
          <w:kern w:val="0"/>
          <w:sz w:val="84"/>
          <w:szCs w:val="84"/>
          <w:lang w:eastAsia="zh-CN"/>
        </w:rPr>
        <w:t>婺源县市场监督管理局文件</w:t>
      </w:r>
    </w:p>
    <w:p>
      <w:pPr>
        <w:spacing w:line="520" w:lineRule="exact"/>
        <w:jc w:val="center"/>
        <w:rPr>
          <w:rFonts w:hint="eastAsia" w:ascii="仿宋_GB2312" w:hAnsi="宋体" w:cs="仿宋_GB2312"/>
          <w:kern w:val="0"/>
          <w:u w:val="none"/>
        </w:rPr>
      </w:pPr>
    </w:p>
    <w:p>
      <w:pPr>
        <w:spacing w:line="520" w:lineRule="exact"/>
        <w:jc w:val="center"/>
        <w:rPr>
          <w:rFonts w:hint="eastAsia" w:ascii="仿宋_GB2312" w:hAnsi="宋体" w:cs="仿宋_GB2312"/>
          <w:kern w:val="0"/>
          <w:u w:val="none"/>
        </w:rPr>
      </w:pPr>
      <w:r>
        <w:rPr>
          <w:rFonts w:hint="eastAsia" w:ascii="仿宋_GB2312" w:hAnsi="宋体" w:cs="仿宋_GB2312"/>
          <w:kern w:val="0"/>
          <w:u w:val="none"/>
        </w:rPr>
        <w:t>婺市管字〔</w:t>
      </w:r>
      <w:r>
        <w:rPr>
          <w:rFonts w:ascii="仿宋_GB2312" w:hAnsi="宋体" w:cs="仿宋_GB2312"/>
          <w:kern w:val="0"/>
          <w:u w:val="none"/>
        </w:rPr>
        <w:t>202</w:t>
      </w:r>
      <w:r>
        <w:rPr>
          <w:rFonts w:hint="eastAsia" w:ascii="仿宋_GB2312" w:hAnsi="宋体" w:cs="仿宋_GB2312"/>
          <w:kern w:val="0"/>
          <w:u w:val="none"/>
          <w:lang w:val="en-US" w:eastAsia="zh-CN"/>
        </w:rPr>
        <w:t>3</w:t>
      </w:r>
      <w:r>
        <w:rPr>
          <w:rFonts w:hint="eastAsia" w:ascii="仿宋_GB2312" w:hAnsi="宋体" w:cs="仿宋_GB2312"/>
          <w:kern w:val="0"/>
          <w:u w:val="none"/>
        </w:rPr>
        <w:t>〕</w:t>
      </w:r>
      <w:r>
        <w:rPr>
          <w:rFonts w:hint="eastAsia" w:ascii="仿宋_GB2312" w:hAnsi="宋体" w:cs="仿宋_GB2312"/>
          <w:kern w:val="0"/>
          <w:u w:val="none"/>
          <w:lang w:val="en-US" w:eastAsia="zh-CN"/>
        </w:rPr>
        <w:t xml:space="preserve">53 </w:t>
      </w:r>
      <w:r>
        <w:rPr>
          <w:rFonts w:hint="eastAsia" w:ascii="仿宋_GB2312" w:hAnsi="宋体" w:cs="仿宋_GB2312"/>
          <w:kern w:val="0"/>
          <w:u w:val="none"/>
        </w:rPr>
        <w:t>号</w:t>
      </w:r>
    </w:p>
    <w:p>
      <w:pPr>
        <w:spacing w:line="520" w:lineRule="exact"/>
        <w:jc w:val="both"/>
        <w:rPr>
          <w:rFonts w:hint="default" w:ascii="仿宋_GB2312" w:hAnsi="宋体" w:eastAsia="仿宋_GB2312" w:cs="仿宋_GB2312"/>
          <w:b w:val="0"/>
          <w:bCs w:val="0"/>
          <w:color w:val="FF0000"/>
          <w:kern w:val="0"/>
          <w:u w:val="thick"/>
          <w:lang w:val="en-US" w:eastAsia="zh-CN"/>
        </w:rPr>
      </w:pPr>
      <w:r>
        <w:rPr>
          <w:rFonts w:hint="eastAsia" w:ascii="仿宋_GB2312" w:hAnsi="宋体" w:cs="仿宋_GB2312"/>
          <w:b w:val="0"/>
          <w:bCs w:val="0"/>
          <w:color w:val="FF0000"/>
          <w:kern w:val="0"/>
          <w:u w:val="thick"/>
          <w:lang w:val="en-US" w:eastAsia="zh-CN"/>
        </w:rPr>
        <w:t xml:space="preserve">                                                           </w:t>
      </w: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u w:val="none"/>
        </w:rPr>
        <w:t>关于印发《婺源县市场监督管理局202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u w:val="no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u w:val="none"/>
        </w:rPr>
        <w:t>年法</w:t>
      </w:r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</w:rPr>
        <w:t>治建设工作计划》的通知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各分局、股（室）、直属单位：</w:t>
      </w:r>
    </w:p>
    <w:p>
      <w:pPr>
        <w:ind w:firstLine="64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现将《婺源县市场监督管理局202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年法治建设工作计划》印发给你们，望认真遵照执行。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婺源县市场监督管理局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5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8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楷体" w:hAnsi="华文楷体" w:eastAsia="华文楷体" w:cs="华文楷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楷体" w:hAnsi="华文楷体" w:eastAsia="华文楷体" w:cs="华文楷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color w:val="auto"/>
          <w:sz w:val="44"/>
          <w:szCs w:val="44"/>
        </w:rPr>
        <w:t>婺源县市场监督管理局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文楷体" w:hAnsi="华文楷体" w:eastAsia="华文楷体" w:cs="华文楷体"/>
          <w:color w:val="auto"/>
          <w:sz w:val="44"/>
          <w:szCs w:val="44"/>
        </w:rPr>
      </w:pPr>
      <w:r>
        <w:rPr>
          <w:rFonts w:hint="eastAsia" w:ascii="华文楷体" w:hAnsi="华文楷体" w:eastAsia="华文楷体" w:cs="华文楷体"/>
          <w:color w:val="auto"/>
          <w:sz w:val="44"/>
          <w:szCs w:val="44"/>
        </w:rPr>
        <w:t>202</w:t>
      </w:r>
      <w:r>
        <w:rPr>
          <w:rFonts w:hint="eastAsia" w:ascii="华文楷体" w:hAnsi="华文楷体" w:eastAsia="华文楷体" w:cs="华文楷体"/>
          <w:color w:val="auto"/>
          <w:sz w:val="44"/>
          <w:szCs w:val="44"/>
          <w:lang w:val="en-US" w:eastAsia="zh-CN"/>
        </w:rPr>
        <w:t>3</w:t>
      </w:r>
      <w:r>
        <w:rPr>
          <w:rFonts w:hint="eastAsia" w:ascii="华文楷体" w:hAnsi="华文楷体" w:eastAsia="华文楷体" w:cs="华文楷体"/>
          <w:color w:val="auto"/>
          <w:sz w:val="44"/>
          <w:szCs w:val="44"/>
        </w:rPr>
        <w:t>年法治建设工作计划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全面贯彻落实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党的二十大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精神的开局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之年、是“八五”普法规划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实施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中期之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年。为做好年度普法、法治政府建设和依法治县工作，持续稳步推进我局法治建设，现结合工作实际，制定本计划。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深入学习贯彻习近平法治思想，全面贯彻党的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二十大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精神，紧紧围绕县委、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县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政府中心工作，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以普法工作为抓手，以依法行政为实践，在实际工作中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进一步提升市场监管部门运用法治思维和法治理念履行职责、服务大局的能力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，为婺源依法治县、法治政府建设作出新贡献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1、深入学习贯彻习近平法治思想。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以习近平法治思想引领新时代法治工作，把学习宣传贯彻习近平法治思想作为全局普法头等大事，通过领导班子集体学、党支部</w:t>
      </w:r>
      <w:r>
        <w:commentReference w:id="0"/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统一学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、单位（股室）集中学，进一步学习领会习近平法治思想重大意义和丰富内涵，以近平法治思想武装头脑，指导实践，进一步增强干部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职工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依法行政意识，提高依法行政能力和水平。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240" w:lineRule="auto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2、抓好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重点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法律法规普及宣传。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持续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组织开展《宪法》《民法典》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及与高质量发展相关法律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法规学习、教育活动，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有针对性开展新修订的《</w:t>
      </w:r>
      <w:r>
        <w:rPr>
          <w:rFonts w:hint="eastAsia" w:ascii="仿宋" w:hAnsi="仿宋" w:eastAsia="仿宋" w:cs="仿宋"/>
          <w:b w:val="0"/>
          <w:bCs w:val="0"/>
          <w:color w:val="auto"/>
          <w:lang w:val="en-US" w:eastAsia="zh-CN"/>
        </w:rPr>
        <w:t>反不正当竞争法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b w:val="0"/>
          <w:bCs w:val="0"/>
          <w:color w:val="auto"/>
          <w:lang w:val="en-US" w:eastAsia="zh-CN"/>
        </w:rPr>
        <w:t>产品质量法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b w:val="0"/>
          <w:bCs w:val="0"/>
          <w:color w:val="auto"/>
          <w:lang w:val="en-US" w:eastAsia="zh-CN"/>
        </w:rPr>
        <w:t>计量法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b w:val="0"/>
          <w:bCs w:val="0"/>
          <w:color w:val="auto"/>
          <w:lang w:val="en-US" w:eastAsia="zh-CN"/>
        </w:rPr>
        <w:t>价格违法行为行政处罚规定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》《</w:t>
      </w:r>
      <w:r>
        <w:rPr>
          <w:rFonts w:hint="eastAsia" w:ascii="仿宋" w:hAnsi="仿宋" w:eastAsia="仿宋" w:cs="仿宋"/>
          <w:b w:val="0"/>
          <w:bCs w:val="0"/>
          <w:color w:val="auto"/>
          <w:lang w:val="en-US" w:eastAsia="zh-CN"/>
        </w:rPr>
        <w:t>药品管理法实施条例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b w:val="0"/>
          <w:bCs w:val="0"/>
          <w:color w:val="auto"/>
          <w:lang w:val="en-US" w:eastAsia="zh-CN"/>
        </w:rPr>
        <w:t>及《药品经营和使用质量监督管理办法》等法律法规、规章学习与普法宣传，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推动法治精神深入人心，服务好我县深化发展和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改革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双“一号工程”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严格落实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eastAsia="zh-CN"/>
        </w:rPr>
        <w:t>执法普法责任制。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“谁执法谁普法”工作要求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不断提高监管服务对象尊法守法意识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时组织干部职工、监管服务对象对新制定、新修订市场监管法律法规进行培训宣贯，加快干部职工队伍知识更新，切实提升执法人员综合素质，满足行政执法工作发展需要；认真组织开展好社会普法活动，积极组织开“质量月”、“消费者权益日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、“知识产权宣传周”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等普法宣传活动，为群众提供方便快捷的法律咨询服务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通过“边执法边普法”、曝光违法行为等方式，向社会普及市场监管法律知识，提高群众质量安全意识，营造依法行政良好氛围。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3、进一步规范行政执法行为。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严格落实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部门、岗位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人员权责清单法定职责，实现执法责任明晰化、岗位责任目标化；严格落实执法过错责任追究制，坚持有错必纠，有责必追；加强行政处罚案件立案、调查取证、核审、告知、听证、集体决定、处罚执行等程序监管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完善自由裁量权行使、涉案财物管理、涉嫌犯罪案件移送等重点环节监督制约机制，减少行政执法随意性，降低行政执法风险；加强对行政处罚、行政强制、行政许可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监督，加大案卷归档、管理、使用及评查工作力度。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4、进一步完善执法联动工作机制。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加强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系统上下及与外系统执法信息交流和资源共享；完善行政执法与刑事司法衔接机制，及时移送涉刑案件；加强组织协调，加大对大案、要案及跨地区跨部门案件查处力度。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5、继续深化“放管服”改革举措。</w:t>
      </w:r>
      <w:r>
        <w:rPr>
          <w:rFonts w:hint="eastAsia" w:ascii="仿宋" w:hAnsi="仿宋" w:eastAsia="仿宋" w:cs="仿宋"/>
          <w:sz w:val="32"/>
          <w:szCs w:val="32"/>
        </w:rPr>
        <w:t>严格落实政府信息公开、市场准入负面清单等制度，健全行政审批工作制度，优化、简化行政审批流程，持续推进市场主体准入便利化等举措落地生根；深入贯彻落实国务院《优化营商环境条例》和《江西省优化营商环境条例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认真执行《江西省市场监管领域轻微违法行为不予处罚清单（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2.0版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）》《江西省市场监督管理领域从轻行政处罚清单、减轻行政处罚清单和少用慎用行政强制措施清单（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1.0版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）》《上饶市司法局关于贯彻落实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&lt;国务院关于取消和调整一批罚款事项的决定&gt;的通知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》规定，</w:t>
      </w:r>
      <w:r>
        <w:rPr>
          <w:rFonts w:hint="eastAsia" w:ascii="仿宋" w:hAnsi="仿宋" w:eastAsia="仿宋" w:cs="仿宋"/>
          <w:sz w:val="32"/>
          <w:szCs w:val="32"/>
        </w:rPr>
        <w:t>打造一流法治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营商</w:t>
      </w:r>
      <w:r>
        <w:rPr>
          <w:rFonts w:hint="eastAsia" w:ascii="仿宋" w:hAnsi="仿宋" w:eastAsia="仿宋" w:cs="仿宋"/>
          <w:sz w:val="32"/>
          <w:szCs w:val="32"/>
        </w:rPr>
        <w:t>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6、依法全面履行市场监管职能。</w:t>
      </w:r>
      <w:r>
        <w:rPr>
          <w:rFonts w:hint="eastAsia" w:ascii="仿宋" w:hAnsi="仿宋" w:eastAsia="仿宋" w:cs="仿宋"/>
          <w:sz w:val="32"/>
          <w:szCs w:val="32"/>
        </w:rPr>
        <w:t>持续开展好食品、药品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、重要工业产品质量安全、特种设备安全领域</w:t>
      </w:r>
      <w:r>
        <w:rPr>
          <w:rFonts w:hint="eastAsia" w:ascii="仿宋" w:hAnsi="仿宋" w:eastAsia="仿宋" w:cs="仿宋"/>
          <w:sz w:val="32"/>
          <w:szCs w:val="32"/>
        </w:rPr>
        <w:t>执法，确保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“三品一特”</w:t>
      </w:r>
      <w:r>
        <w:rPr>
          <w:rFonts w:hint="eastAsia" w:ascii="仿宋" w:hAnsi="仿宋" w:eastAsia="仿宋" w:cs="仿宋"/>
          <w:sz w:val="32"/>
          <w:szCs w:val="32"/>
        </w:rPr>
        <w:t>安全；严厉查处各类哄抬民生商品价格、消费欺诈、不正当竞争等违法行为，保持经济社会稳定健康发展；健全公共事件危机应急处理机制，进一步完善应急预案，提高公共事件应对能力。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7、切实做好矛盾纠纷化解工作。</w:t>
      </w:r>
      <w:r>
        <w:rPr>
          <w:rFonts w:hint="eastAsia" w:ascii="仿宋" w:hAnsi="仿宋" w:eastAsia="仿宋" w:cs="仿宋"/>
          <w:sz w:val="32"/>
          <w:szCs w:val="32"/>
        </w:rPr>
        <w:t>充分发挥行政调解作用，妥善解决、化解各类消费纠纷；继续做好行政复议和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</w:t>
      </w:r>
      <w:r>
        <w:rPr>
          <w:rFonts w:hint="eastAsia" w:ascii="仿宋" w:hAnsi="仿宋" w:eastAsia="仿宋" w:cs="仿宋"/>
          <w:sz w:val="32"/>
          <w:szCs w:val="32"/>
        </w:rPr>
        <w:t>应诉工作，通过行政复议、参与行政应诉，依法纠正违法或不当行政行为，化解社会矛盾，促进执法能力、水平不断提高。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8、自觉接受行政权力制约和监督。</w:t>
      </w:r>
      <w:r>
        <w:rPr>
          <w:rFonts w:hint="eastAsia" w:ascii="仿宋" w:hAnsi="仿宋" w:eastAsia="仿宋" w:cs="仿宋"/>
          <w:sz w:val="32"/>
          <w:szCs w:val="32"/>
        </w:rPr>
        <w:t>全面推进政务公开，让权力在阳光下运行；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进一步</w:t>
      </w:r>
      <w:r>
        <w:rPr>
          <w:rFonts w:hint="eastAsia" w:ascii="仿宋" w:hAnsi="仿宋" w:eastAsia="仿宋" w:cs="仿宋"/>
          <w:sz w:val="32"/>
          <w:szCs w:val="32"/>
        </w:rPr>
        <w:t>推进社会信用体系建设，加强“信用市管”建设，为建设“信用婺源”作出应有贡献；自觉接受人大、纪检监察、司法、审计监督，认真办理人大代表建议、政协委员提案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落实检察建议等；严格落实行政机关负责人出庭应诉职责，行政机关负责人出庭应诉率80%以上。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（一）加强组织领导</w:t>
      </w:r>
      <w:r>
        <w:rPr>
          <w:rFonts w:hint="eastAsia" w:ascii="仿宋" w:hAnsi="仿宋" w:eastAsia="仿宋" w:cs="仿宋"/>
          <w:sz w:val="32"/>
          <w:szCs w:val="32"/>
        </w:rPr>
        <w:t>。各分局、股（室）、直属单位要在</w:t>
      </w:r>
      <w:r>
        <w:commentReference w:id="1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局法治建设领导小组</w:t>
      </w:r>
      <w:r>
        <w:rPr>
          <w:rFonts w:hint="eastAsia" w:ascii="仿宋" w:hAnsi="仿宋" w:eastAsia="仿宋" w:cs="仿宋"/>
          <w:sz w:val="32"/>
          <w:szCs w:val="32"/>
        </w:rPr>
        <w:t>领导下，加强法建工作组织和协调，在全局形成</w:t>
      </w:r>
      <w:r>
        <w:commentReference w:id="2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 w:cs="仿宋"/>
          <w:sz w:val="32"/>
          <w:szCs w:val="32"/>
        </w:rPr>
        <w:t>牵头抓、主要领导亲自抓、分管领导具体抓、有关机构配合抓的工作局面。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（二）突出工作重点。</w:t>
      </w:r>
      <w:r>
        <w:rPr>
          <w:rFonts w:hint="eastAsia" w:ascii="仿宋" w:hAnsi="仿宋" w:eastAsia="仿宋" w:cs="仿宋"/>
          <w:sz w:val="32"/>
          <w:szCs w:val="32"/>
        </w:rPr>
        <w:t>要按照法建工作要求，紧密结合监管工作实际，与日常业务工作紧密结合，在法律规定范围内开展方法创新与制度创新，突出特色和亮点，取得工作实效。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（三）强化督导检查。</w:t>
      </w:r>
      <w:r>
        <w:commentReference w:id="3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局法治建设领导小组办公室</w:t>
      </w:r>
      <w:r>
        <w:rPr>
          <w:rFonts w:hint="eastAsia" w:ascii="仿宋" w:hAnsi="仿宋" w:eastAsia="仿宋" w:cs="仿宋"/>
          <w:sz w:val="32"/>
          <w:szCs w:val="32"/>
        </w:rPr>
        <w:t>要加强对各部门开展法治建设活动的督导检查，及时掌握和研究解决各部门在活动推进过程中遇到的问题，确保法治建设工作顺利推进。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（四）强化舆论宣传。</w:t>
      </w:r>
      <w:r>
        <w:rPr>
          <w:rFonts w:hint="eastAsia" w:ascii="仿宋" w:hAnsi="仿宋" w:eastAsia="仿宋" w:cs="仿宋"/>
          <w:sz w:val="32"/>
          <w:szCs w:val="32"/>
        </w:rPr>
        <w:t>各分局、股（室）、直属单位要紧密联系各单位、部门工作实际，大力宣传法治建设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工作动态、</w:t>
      </w:r>
      <w:r>
        <w:rPr>
          <w:rFonts w:hint="eastAsia" w:ascii="仿宋" w:hAnsi="仿宋" w:eastAsia="仿宋" w:cs="仿宋"/>
          <w:sz w:val="32"/>
          <w:szCs w:val="32"/>
        </w:rPr>
        <w:t>先进典型、先进事迹。要拓宽各种传媒渠道，全方位、多层次对局法建工作进行宣传报道，为法建工作创造良好舆论环境。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法治建设</w:t>
      </w:r>
      <w:r>
        <w:rPr>
          <w:rFonts w:hint="eastAsia" w:ascii="仿宋" w:hAnsi="仿宋" w:eastAsia="仿宋" w:cs="仿宋"/>
          <w:sz w:val="32"/>
          <w:szCs w:val="32"/>
        </w:rPr>
        <w:t>工作安排表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8"/>
        <w:ind w:left="0" w:leftChars="0" w:firstLine="0" w:firstLineChars="0"/>
      </w:pPr>
    </w:p>
    <w:p>
      <w:pPr>
        <w:spacing w:line="560" w:lineRule="exact"/>
        <w:rPr>
          <w:rFonts w:hint="eastAsia" w:ascii="仿宋" w:hAnsi="仿宋" w:eastAsia="仿宋"/>
          <w:b w:val="0"/>
          <w:bCs w:val="0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法治建设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安排表</w:t>
      </w:r>
    </w:p>
    <w:tbl>
      <w:tblPr>
        <w:tblStyle w:val="10"/>
        <w:tblpPr w:leftFromText="180" w:rightFromText="180" w:vertAnchor="text" w:horzAnchor="page" w:tblpX="1777" w:tblpY="11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2"/>
        <w:gridCol w:w="1200"/>
        <w:gridCol w:w="1485"/>
        <w:gridCol w:w="1395"/>
        <w:gridCol w:w="8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内容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方式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参与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对象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责任单位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  <w:lang w:eastAsia="zh-CN"/>
              </w:rPr>
              <w:t>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习近平法治思想、习近平关于全面依法治国的重要论述、党的二十大会议精神、党内法规、立法法、反电信网络诈骗法、野生动物保护法、江西省平安建设条例等。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集中学习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党组中心组、各支部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党组、机关党委、各支部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《宪法》《民法典》学习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自学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全局干部职工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分局、股室、直属单位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/>
              </w:rPr>
              <w:t>“3.15”国际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</w:rPr>
              <w:t>消费者权益日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活动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现场宣传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社会公众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消保股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3962" w:type="dxa"/>
            <w:noWrap w:val="0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60" w:afterAutospacing="0" w:line="33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begin"/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instrText xml:space="preserve"> HYPERLINK "https://www.liuxue86.com/a/3690237.html" \t "https://www.so.com/_blank" </w:instrTex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separate"/>
            </w:r>
            <w:r>
              <w:rPr>
                <w:rStyle w:val="14"/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t>知识产权宣传周活动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</w:rPr>
              <w:fldChar w:fldCharType="end"/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现场宣传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社会公众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市管股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2022年度行政处罚案卷评查及案卷管理情况检查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现场抽查检查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各分局、股室、执法稽查局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5月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质量月活动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1"/>
                <w:szCs w:val="21"/>
                <w:lang w:eastAsia="zh-CN"/>
              </w:rPr>
              <w:t>现场宣传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社会公众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市管股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9月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新修订的《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反不正当竞争法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自学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全局干部职工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法规股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出台后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新修订的《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价格违法行为行政处罚规定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集中培训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相关执法人员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法规股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出台后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新修订的《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产品质量法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》《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计量法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集中培训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全体执法人员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法规股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出台后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191919"/>
                <w:spacing w:val="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新修订的《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药品管理法实施条例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eastAsia="zh-CN"/>
              </w:rPr>
              <w:t>》及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《药品经营和使用质量监督管理办法》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集中学习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相关执法人员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法规股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出台后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年度普法工作总结汇报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撰写报告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各单位、股室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12月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96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年度普法、依法治县、法治政府建设工作总结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撰写报告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法规股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年底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spacing w:line="560" w:lineRule="exact"/>
        <w:rPr>
          <w:rFonts w:ascii="仿宋" w:hAnsi="仿宋" w:eastAsia="仿宋" w:cs="Times New Roman"/>
          <w:sz w:val="28"/>
          <w:szCs w:val="28"/>
          <w:u w:val="single"/>
        </w:rPr>
      </w:pPr>
    </w:p>
    <w:p>
      <w:pPr>
        <w:spacing w:line="520" w:lineRule="exact"/>
        <w:rPr>
          <w:rFonts w:hint="eastAsia" w:eastAsia="仿宋" w:cs="Times New Roman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393700</wp:posOffset>
                </wp:positionV>
                <wp:extent cx="5410200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31pt;height:0.05pt;width:426pt;z-index:251659264;mso-width-relative:page;mso-height-relative:page;" filled="f" stroked="t" coordsize="21600,21600" o:gfxdata="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dDEXjXAAAACAEAAA8AAAAAAAAAAQAgAAAAIgAAAGRycy9kb3ducmV2Lnht&#10;bFBLAQIUABQAAAAIAIdO4kCncHzk+gEAAPUDAAAOAAAAAAAAAAEAIAAAACYBAABkcnMvZTJvRG9j&#10;LnhtbFBLBQYAAAAABgAGAFkBAACSBQAAAAA=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/>
          <w:lang w:eastAsia="zh-CN"/>
        </w:rPr>
        <w:t>抄　报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县普法办、县依法治县办、县法治政府建设办</w:t>
      </w:r>
    </w:p>
    <w:p>
      <w:pPr>
        <w:spacing w:line="520" w:lineRule="exact"/>
      </w:pP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393700</wp:posOffset>
                </wp:positionV>
                <wp:extent cx="5410200" cy="635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635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5pt;margin-top:31pt;height:0.05pt;width:426pt;z-index:251660288;mso-width-relative:page;mso-height-relative:page;" filled="f" stroked="t" coordsize="21600,21600" o:gfxdata="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XQxF41wAAAAgBAAAPAAAAAAAAAAEAIAAAACIAAABkcnMvZG93bnJldi54&#10;bWxQSwECFAAUAAAACACHTuJAUVt05PsBAAD1AwAADgAAAAAAAAABACAAAAAmAQAAZHJzL2Uyb0Rv&#10;Yy54bWxQSwUGAAAAAAYABgBZAQAAkwUAAAAA&#10;">
                <v:fill on="f" focussize="0,0"/>
                <v:stroke weight="1.25pt" color="#000000" joinstyle="round"/>
                <v:imagedata o:title=""/>
                <o:lock v:ext="edit" aspectratio="f"/>
                <w10:anchorlock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婺源县市场监督管理局办公室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ascii="仿宋" w:hAnsi="仿宋" w:eastAsia="仿宋" w:cs="仿宋"/>
          <w:sz w:val="28"/>
          <w:szCs w:val="28"/>
        </w:rPr>
        <w:t>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3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5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8 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headerReference r:id="rId5" w:type="default"/>
      <w:pgSz w:w="11906" w:h="16838"/>
      <w:pgMar w:top="1701" w:right="1469" w:bottom="1701" w:left="1622" w:header="851" w:footer="992" w:gutter="0"/>
      <w:pgNumType w:fmt="numberInDash"/>
      <w:cols w:space="720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徐易" w:date="2023-05-05T09:35:10Z" w:initials="">
    <w:p w14:paraId="5E8B238D">
      <w:pPr>
        <w:pStyle w:val="5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建议改为法规部门</w:t>
      </w:r>
    </w:p>
  </w:comment>
  <w:comment w:id="1" w:author="徐易" w:date="2023-05-05T09:40:06Z" w:initials="">
    <w:p w14:paraId="4DA12E3B">
      <w:pPr>
        <w:pStyle w:val="5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这个小组成立了吗？具体名单是否及时更新？</w:t>
      </w:r>
    </w:p>
  </w:comment>
  <w:comment w:id="2" w:author="徐易" w:date="2023-05-05T09:40:31Z" w:initials="">
    <w:p w14:paraId="2D4F52C3">
      <w:pPr>
        <w:pStyle w:val="5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全文用“法制”还是“法规部门”请斟酌</w:t>
      </w:r>
    </w:p>
  </w:comment>
  <w:comment w:id="3" w:author="徐易" w:date="2023-05-05T09:41:18Z" w:initials="">
    <w:p w14:paraId="20596401">
      <w:pPr>
        <w:pStyle w:val="5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这个成立了么？是否及时更新？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E8B238D" w15:done="0"/>
  <w15:commentEx w15:paraId="4DA12E3B" w15:done="0"/>
  <w15:commentEx w15:paraId="2D4F52C3" w15:done="0"/>
  <w15:commentEx w15:paraId="2059640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rPr>
        <w:rFonts w:cs="Times New Roman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徐易">
    <w15:presenceInfo w15:providerId="WPS Office" w15:userId="1554899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5YjEwZmI5NTFjYzg5YzIxZGFiNzU1NjEyNWM5ZTgifQ=="/>
  </w:docVars>
  <w:rsids>
    <w:rsidRoot w:val="75AD3AE9"/>
    <w:rsid w:val="05F172DB"/>
    <w:rsid w:val="0CE02A78"/>
    <w:rsid w:val="20735A50"/>
    <w:rsid w:val="29655A5B"/>
    <w:rsid w:val="2D5E734A"/>
    <w:rsid w:val="2E273EC0"/>
    <w:rsid w:val="2EE276BB"/>
    <w:rsid w:val="329B2A66"/>
    <w:rsid w:val="34C60BD9"/>
    <w:rsid w:val="38735EAC"/>
    <w:rsid w:val="3EB5543B"/>
    <w:rsid w:val="3F6C4D03"/>
    <w:rsid w:val="40896DAA"/>
    <w:rsid w:val="42EF572F"/>
    <w:rsid w:val="434E6229"/>
    <w:rsid w:val="4C0C20D5"/>
    <w:rsid w:val="5D456571"/>
    <w:rsid w:val="5FC873DA"/>
    <w:rsid w:val="68AA7102"/>
    <w:rsid w:val="75AD3AE9"/>
    <w:rsid w:val="79C1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Times New Roman" w:hAnsi="Courier New" w:eastAsia="宋体" w:cs="Times New Roman"/>
      <w:sz w:val="21"/>
      <w:szCs w:val="21"/>
    </w:rPr>
  </w:style>
  <w:style w:type="paragraph" w:styleId="4">
    <w:name w:val="toa heading"/>
    <w:basedOn w:val="1"/>
    <w:next w:val="1"/>
    <w:qFormat/>
    <w:uiPriority w:val="99"/>
    <w:pPr>
      <w:spacing w:before="120"/>
    </w:pPr>
    <w:rPr>
      <w:rFonts w:ascii="Arial" w:hAnsi="Arial"/>
      <w:b/>
      <w:bCs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next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Block Text"/>
    <w:basedOn w:val="1"/>
    <w:qFormat/>
    <w:uiPriority w:val="0"/>
    <w:pPr>
      <w:ind w:left="1440" w:leftChars="700" w:right="700" w:rightChars="700"/>
    </w:p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99"/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2769</Words>
  <Characters>2809</Characters>
  <Lines>0</Lines>
  <Paragraphs>0</Paragraphs>
  <TotalTime>2</TotalTime>
  <ScaleCrop>false</ScaleCrop>
  <LinksUpToDate>false</LinksUpToDate>
  <CharactersWithSpaces>2856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2022-06-20T07:46:00Z</dcterms:created>
  <dc:creator>Administrator</dc:creator>
  <cp:lastModifiedBy>郑进生</cp:lastModifiedBy>
  <cp:lastPrinted>2023-05-05T07:23:00Z</cp:lastPrinted>
  <dcterms:modified xsi:type="dcterms:W3CDTF">2023-08-31T03:14:28Z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EA02DBA73E5349038B4247C33BBE739E_13</vt:lpwstr>
  </property>
</Properties>
</file>