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40" w:lineRule="exact"/>
        <w:ind w:left="0" w:leftChars="0" w:firstLine="0" w:firstLineChars="0"/>
        <w:jc w:val="center"/>
        <w:textAlignment w:val="auto"/>
        <w:rPr>
          <w:rFonts w:hint="eastAsia" w:ascii="方正小标宋简体" w:hAnsi="方正小标宋简体" w:eastAsia="方正小标宋简体" w:cs="方正小标宋简体"/>
          <w:b w:val="0"/>
          <w:bCs/>
          <w:color w:val="000000" w:themeColor="text1"/>
          <w:sz w:val="44"/>
          <w:szCs w:val="44"/>
          <w:shd w:val="clear" w:color="auto" w:fill="FFFFFF"/>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shd w:val="clear" w:color="auto" w:fill="FFFFFF"/>
          <w:lang w:eastAsia="zh-CN"/>
          <w14:textFill>
            <w14:solidFill>
              <w14:schemeClr w14:val="tx1"/>
            </w14:solidFill>
          </w14:textFill>
        </w:rPr>
        <w:t>婺源县全域旅游发展中心</w:t>
      </w:r>
      <w:r>
        <w:rPr>
          <w:rFonts w:hint="eastAsia" w:ascii="方正小标宋简体" w:hAnsi="方正小标宋简体" w:eastAsia="方正小标宋简体" w:cs="方正小标宋简体"/>
          <w:b w:val="0"/>
          <w:bCs/>
          <w:color w:val="000000" w:themeColor="text1"/>
          <w:sz w:val="44"/>
          <w:szCs w:val="44"/>
          <w:shd w:val="clear" w:color="auto" w:fill="FFFFFF"/>
          <w14:textFill>
            <w14:solidFill>
              <w14:schemeClr w14:val="tx1"/>
            </w14:solidFill>
          </w14:textFill>
        </w:rPr>
        <w:t>2022年政府</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40" w:lineRule="exact"/>
        <w:ind w:left="0" w:leftChars="0" w:firstLine="0" w:firstLineChars="0"/>
        <w:jc w:val="center"/>
        <w:textAlignment w:val="auto"/>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shd w:val="clear" w:color="auto" w:fill="FFFFFF"/>
          <w14:textFill>
            <w14:solidFill>
              <w14:schemeClr w14:val="tx1"/>
            </w14:solidFill>
          </w14:textFill>
        </w:rPr>
        <w:t>信息公开工作年度报告</w:t>
      </w:r>
    </w:p>
    <w:p>
      <w:pPr>
        <w:pStyle w:val="5"/>
        <w:widowControl/>
        <w:shd w:val="clear" w:color="auto" w:fill="FFFFFF"/>
        <w:spacing w:beforeAutospacing="0" w:afterAutospacing="0"/>
        <w:ind w:firstLine="640"/>
        <w:jc w:val="both"/>
        <w:rPr>
          <w:rFonts w:ascii="宋体" w:hAnsi="宋体" w:eastAsia="宋体" w:cs="宋体"/>
          <w:color w:val="333333"/>
          <w:sz w:val="32"/>
          <w:szCs w:val="32"/>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报告依据《中华人民共和国政府信息公开条例》（国务院令第711号，以下简称新《条例》）和《国务院办公厅政府信息与政务公开办公室关于印发&lt;中华人民共和国政府信息公开工作年度报告格式&gt;的通知》（国办公开办函〔2021〕30号）要求，由</w:t>
      </w:r>
      <w:r>
        <w:rPr>
          <w:rFonts w:hint="eastAsia" w:ascii="仿宋_GB2312" w:hAnsi="仿宋_GB2312" w:eastAsia="仿宋_GB2312" w:cs="仿宋_GB2312"/>
          <w:color w:val="000000" w:themeColor="text1"/>
          <w:sz w:val="32"/>
          <w:szCs w:val="32"/>
          <w:lang w:eastAsia="zh-CN"/>
          <w14:textFill>
            <w14:solidFill>
              <w14:schemeClr w14:val="tx1"/>
            </w14:solidFill>
          </w14:textFill>
        </w:rPr>
        <w:t>婺源县全域旅游发展中心</w:t>
      </w:r>
      <w:r>
        <w:rPr>
          <w:rFonts w:hint="eastAsia" w:ascii="仿宋_GB2312" w:hAnsi="仿宋_GB2312" w:eastAsia="仿宋_GB2312" w:cs="仿宋_GB2312"/>
          <w:color w:val="000000" w:themeColor="text1"/>
          <w:sz w:val="32"/>
          <w:szCs w:val="32"/>
          <w14:textFill>
            <w14:solidFill>
              <w14:schemeClr w14:val="tx1"/>
            </w14:solidFill>
          </w14:textFill>
        </w:rPr>
        <w:t>结合有关统计数据编制。本年度报告中所列数据的统计期限自2022年1月1日起至2022年12月31日止。全文包括主动公开、依申请公开、政府信息管理、平台建设、监督保障（含《中华人民共和国政府信息公开条例》第五十条第四项规定的各级人民政府“工作考核、社会评议和责任追究结果情况”）等方面。本年度报告的电子版可以从婺源县人民政府网站（www.jxwy.gov.cn）下载。如对本报告有任何疑问，请与</w:t>
      </w:r>
      <w:r>
        <w:rPr>
          <w:rFonts w:hint="eastAsia" w:ascii="仿宋_GB2312" w:hAnsi="仿宋_GB2312" w:eastAsia="仿宋_GB2312" w:cs="仿宋_GB2312"/>
          <w:color w:val="000000" w:themeColor="text1"/>
          <w:sz w:val="32"/>
          <w:szCs w:val="32"/>
          <w:lang w:eastAsia="zh-CN"/>
          <w14:textFill>
            <w14:solidFill>
              <w14:schemeClr w14:val="tx1"/>
            </w14:solidFill>
          </w14:textFill>
        </w:rPr>
        <w:t>婺源县全域旅游发展中心</w:t>
      </w:r>
      <w:r>
        <w:rPr>
          <w:rFonts w:hint="eastAsia" w:ascii="仿宋_GB2312" w:hAnsi="仿宋_GB2312" w:eastAsia="仿宋_GB2312" w:cs="仿宋_GB2312"/>
          <w:color w:val="000000" w:themeColor="text1"/>
          <w:sz w:val="32"/>
          <w:szCs w:val="32"/>
          <w14:textFill>
            <w14:solidFill>
              <w14:schemeClr w14:val="tx1"/>
            </w14:solidFill>
          </w14:textFill>
        </w:rPr>
        <w:t>联系</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地址：</w:t>
      </w:r>
      <w:r>
        <w:rPr>
          <w:rFonts w:hint="eastAsia" w:ascii="仿宋_GB2312" w:hAnsi="仿宋_GB2312" w:eastAsia="仿宋_GB2312" w:cs="仿宋_GB2312"/>
          <w:color w:val="000000" w:themeColor="text1"/>
          <w:kern w:val="0"/>
          <w:sz w:val="32"/>
          <w:szCs w:val="32"/>
          <w14:textFill>
            <w14:solidFill>
              <w14:schemeClr w14:val="tx1"/>
            </w14:solidFill>
          </w14:textFill>
        </w:rPr>
        <w:t>婺源县文公北路旅游集散中心</w:t>
      </w:r>
      <w:r>
        <w:rPr>
          <w:rFonts w:hint="eastAsia" w:ascii="仿宋_GB2312" w:hAnsi="仿宋_GB2312" w:eastAsia="仿宋_GB2312" w:cs="仿宋_GB2312"/>
          <w:color w:val="000000" w:themeColor="text1"/>
          <w:sz w:val="32"/>
          <w:szCs w:val="32"/>
          <w14:textFill>
            <w14:solidFill>
              <w14:schemeClr w14:val="tx1"/>
            </w14:solidFill>
          </w14:textFill>
        </w:rPr>
        <w:t>，电话：</w:t>
      </w:r>
      <w:r>
        <w:rPr>
          <w:rFonts w:hint="eastAsia" w:ascii="仿宋_GB2312" w:hAnsi="仿宋_GB2312" w:eastAsia="仿宋_GB2312" w:cs="仿宋_GB2312"/>
          <w:color w:val="000000" w:themeColor="text1"/>
          <w:kern w:val="0"/>
          <w:sz w:val="32"/>
          <w:szCs w:val="32"/>
          <w14:textFill>
            <w14:solidFill>
              <w14:schemeClr w14:val="tx1"/>
            </w14:solidFill>
          </w14:textFill>
        </w:rPr>
        <w:t>0793-7343532</w:t>
      </w:r>
      <w:r>
        <w:rPr>
          <w:rFonts w:hint="eastAsia" w:ascii="仿宋_GB2312" w:hAnsi="仿宋_GB2312" w:eastAsia="仿宋_GB2312" w:cs="仿宋_GB2312"/>
          <w:color w:val="000000" w:themeColor="text1"/>
          <w:sz w:val="32"/>
          <w:szCs w:val="32"/>
          <w14:textFill>
            <w14:solidFill>
              <w14:schemeClr w14:val="tx1"/>
            </w14:solidFill>
          </w14:textFill>
        </w:rPr>
        <w:t>，邮编：</w:t>
      </w:r>
      <w:r>
        <w:rPr>
          <w:rFonts w:hint="eastAsia" w:ascii="仿宋_GB2312" w:hAnsi="仿宋_GB2312" w:eastAsia="仿宋_GB2312" w:cs="仿宋_GB2312"/>
          <w:color w:val="000000" w:themeColor="text1"/>
          <w:kern w:val="0"/>
          <w:sz w:val="32"/>
          <w:szCs w:val="32"/>
          <w14:textFill>
            <w14:solidFill>
              <w14:schemeClr w14:val="tx1"/>
            </w14:solidFill>
          </w14:textFill>
        </w:rPr>
        <w:t>333200</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5"/>
        <w:keepNext w:val="0"/>
        <w:keepLines w:val="0"/>
        <w:pageBreakBefore w:val="0"/>
        <w:widowControl/>
        <w:shd w:val="clear" w:color="auto" w:fill="FFFFFF"/>
        <w:kinsoku/>
        <w:wordWrap/>
        <w:overflowPunct/>
        <w:topLinePunct w:val="0"/>
        <w:autoSpaceDE/>
        <w:autoSpaceDN/>
        <w:bidi w:val="0"/>
        <w:spacing w:beforeAutospacing="0" w:afterAutospacing="0" w:line="580" w:lineRule="exact"/>
        <w:ind w:firstLine="640"/>
        <w:jc w:val="both"/>
        <w:textAlignment w:val="auto"/>
        <w:rPr>
          <w:rFonts w:hint="eastAsia" w:ascii="黑体" w:hAnsi="黑体" w:eastAsia="黑体" w:cs="黑体"/>
          <w:bCs/>
          <w:color w:val="000000" w:themeColor="text1"/>
          <w:sz w:val="32"/>
          <w:szCs w:val="32"/>
          <w:shd w:val="clear" w:color="auto" w:fill="FFFFFF"/>
          <w:lang w:eastAsia="zh-CN"/>
          <w14:textFill>
            <w14:solidFill>
              <w14:schemeClr w14:val="tx1"/>
            </w14:solidFill>
          </w14:textFill>
        </w:rPr>
      </w:pPr>
      <w:r>
        <w:rPr>
          <w:rFonts w:hint="eastAsia" w:ascii="黑体" w:hAnsi="黑体" w:eastAsia="黑体" w:cs="黑体"/>
          <w:bCs/>
          <w:color w:val="000000" w:themeColor="text1"/>
          <w:sz w:val="32"/>
          <w:szCs w:val="32"/>
          <w:shd w:val="clear" w:color="auto" w:fill="FFFFFF"/>
          <w:lang w:eastAsia="zh-CN"/>
          <w14:textFill>
            <w14:solidFill>
              <w14:schemeClr w14:val="tx1"/>
            </w14:solidFill>
          </w14:textFill>
        </w:rPr>
        <w:t>一、总体情况</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2022年，婺源县全域旅游发展中心坚持以习近平新时代中国特色社会主义思想为指导，深入贯彻党的二十大精神，严格落实《条例》和《国务院办公厅关于印发2022年政务公开工作要点的通知》（国办发〔2022〕8号）的要求。同时积极对《江西省人民政府办公厅关于印发2022年江西省政务公开工作要点的通知》（赣府厅字〔2022〕45号）明确目标任务。紧紧围绕县委、县政府中心工作及社会群众关注关切，加强政策发布的力度和时效，持续提升公开质量和治理效能，取得积极成效。2022年在婺源县人民政府网信息公开平台公开政府信息共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37</w:t>
      </w:r>
      <w:r>
        <w:rPr>
          <w:rFonts w:hint="eastAsia" w:ascii="仿宋_GB2312" w:hAnsi="仿宋_GB2312" w:eastAsia="仿宋_GB2312" w:cs="仿宋_GB2312"/>
          <w:color w:val="000000" w:themeColor="text1"/>
          <w:sz w:val="32"/>
          <w:szCs w:val="32"/>
          <w:lang w:eastAsia="zh-CN"/>
          <w14:textFill>
            <w14:solidFill>
              <w14:schemeClr w14:val="tx1"/>
            </w14:solidFill>
          </w14:textFill>
        </w:rPr>
        <w:t>条。</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80" w:lineRule="exact"/>
        <w:ind w:left="0" w:leftChars="0" w:firstLine="643" w:firstLineChars="200"/>
        <w:jc w:val="both"/>
        <w:textAlignment w:val="auto"/>
        <w:rPr>
          <w:rFonts w:ascii="楷体" w:hAnsi="楷体" w:eastAsia="楷体" w:cs="楷体"/>
          <w:b/>
          <w:bCs w:val="0"/>
          <w:color w:val="000000" w:themeColor="text1"/>
          <w:sz w:val="32"/>
          <w:szCs w:val="32"/>
          <w:shd w:val="clear" w:color="auto" w:fill="FFFFFF"/>
          <w14:textFill>
            <w14:solidFill>
              <w14:schemeClr w14:val="tx1"/>
            </w14:solidFill>
          </w14:textFill>
        </w:rPr>
      </w:pPr>
      <w:r>
        <w:rPr>
          <w:rFonts w:hint="eastAsia" w:ascii="楷体" w:hAnsi="楷体" w:eastAsia="楷体" w:cs="楷体"/>
          <w:b/>
          <w:bCs w:val="0"/>
          <w:color w:val="000000" w:themeColor="text1"/>
          <w:sz w:val="32"/>
          <w:szCs w:val="32"/>
          <w:shd w:val="clear" w:color="auto" w:fill="FFFFFF"/>
          <w:lang w:eastAsia="zh-CN"/>
          <w14:textFill>
            <w14:solidFill>
              <w14:schemeClr w14:val="tx1"/>
            </w14:solidFill>
          </w14:textFill>
        </w:rPr>
        <w:t>（一）</w:t>
      </w:r>
      <w:r>
        <w:rPr>
          <w:rFonts w:hint="eastAsia" w:ascii="楷体" w:hAnsi="楷体" w:eastAsia="楷体" w:cs="楷体"/>
          <w:b/>
          <w:bCs w:val="0"/>
          <w:color w:val="000000" w:themeColor="text1"/>
          <w:sz w:val="32"/>
          <w:szCs w:val="32"/>
          <w:shd w:val="clear" w:color="auto" w:fill="FFFFFF"/>
          <w14:textFill>
            <w14:solidFill>
              <w14:schemeClr w14:val="tx1"/>
            </w14:solidFill>
          </w14:textFill>
        </w:rPr>
        <w:t>主动公开</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婺源县全域旅游发展中心认真贯彻落实省、市、县有关政务公开工作要求，始终坚持“以公开为常态、不公开为例外”原则，主动公开概况信息、法规文件、发展规划、工作动态、人事信息、财经信息等多方面的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信息</w:t>
      </w:r>
      <w:r>
        <w:rPr>
          <w:rFonts w:hint="eastAsia" w:ascii="仿宋_GB2312" w:hAnsi="仿宋_GB2312" w:eastAsia="仿宋_GB2312" w:cs="仿宋_GB2312"/>
          <w:color w:val="000000" w:themeColor="text1"/>
          <w:sz w:val="32"/>
          <w:szCs w:val="32"/>
          <w:lang w:eastAsia="zh-CN"/>
          <w14:textFill>
            <w14:solidFill>
              <w14:schemeClr w14:val="tx1"/>
            </w14:solidFill>
          </w14:textFill>
        </w:rPr>
        <w:t>，并坚持以市场主体和群众需求为导向，提高政府信息公开精准度和到达率。</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2022年我单位在婺源县人民政府信息网上总共发布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37</w:t>
      </w:r>
      <w:r>
        <w:rPr>
          <w:rFonts w:hint="eastAsia" w:ascii="仿宋_GB2312" w:hAnsi="仿宋_GB2312" w:eastAsia="仿宋_GB2312" w:cs="仿宋_GB2312"/>
          <w:color w:val="000000" w:themeColor="text1"/>
          <w:sz w:val="32"/>
          <w:szCs w:val="32"/>
          <w:lang w:eastAsia="zh-CN"/>
          <w14:textFill>
            <w14:solidFill>
              <w14:schemeClr w14:val="tx1"/>
            </w14:solidFill>
          </w14:textFill>
        </w:rPr>
        <w:t>条信息，其中概况信息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条，法规文件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lang w:eastAsia="zh-CN"/>
          <w14:textFill>
            <w14:solidFill>
              <w14:schemeClr w14:val="tx1"/>
            </w14:solidFill>
          </w14:textFill>
        </w:rPr>
        <w:t>条，发展规划</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lang w:eastAsia="zh-CN"/>
          <w14:textFill>
            <w14:solidFill>
              <w14:schemeClr w14:val="tx1"/>
            </w14:solidFill>
          </w14:textFill>
        </w:rPr>
        <w:t>条，工作动态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30</w:t>
      </w:r>
      <w:r>
        <w:rPr>
          <w:rFonts w:hint="eastAsia" w:ascii="仿宋_GB2312" w:hAnsi="仿宋_GB2312" w:eastAsia="仿宋_GB2312" w:cs="仿宋_GB2312"/>
          <w:color w:val="000000" w:themeColor="text1"/>
          <w:sz w:val="32"/>
          <w:szCs w:val="32"/>
          <w:lang w:eastAsia="zh-CN"/>
          <w14:textFill>
            <w14:solidFill>
              <w14:schemeClr w14:val="tx1"/>
            </w14:solidFill>
          </w14:textFill>
        </w:rPr>
        <w:t>条，人事信息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条，财经信息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条。</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left="0" w:leftChars="0" w:firstLine="643" w:firstLineChars="200"/>
        <w:jc w:val="both"/>
        <w:textAlignment w:val="auto"/>
        <w:rPr>
          <w:rFonts w:ascii="楷体" w:hAnsi="楷体" w:eastAsia="楷体" w:cs="楷体"/>
          <w:b/>
          <w:bCs/>
          <w:color w:val="000000" w:themeColor="text1"/>
          <w:sz w:val="32"/>
          <w:szCs w:val="32"/>
          <w:shd w:val="clear" w:color="auto" w:fill="FFFFFF"/>
          <w14:textFill>
            <w14:solidFill>
              <w14:schemeClr w14:val="tx1"/>
            </w14:solidFill>
          </w14:textFill>
        </w:rPr>
      </w:pPr>
      <w:r>
        <w:rPr>
          <w:rFonts w:hint="eastAsia" w:ascii="楷体" w:hAnsi="楷体" w:eastAsia="楷体" w:cs="楷体"/>
          <w:b/>
          <w:bCs/>
          <w:color w:val="000000" w:themeColor="text1"/>
          <w:sz w:val="32"/>
          <w:szCs w:val="32"/>
          <w:shd w:val="clear" w:color="auto" w:fill="FFFFFF"/>
          <w14:textFill>
            <w14:solidFill>
              <w14:schemeClr w14:val="tx1"/>
            </w14:solidFill>
          </w14:textFill>
        </w:rPr>
        <w:t>（二）依申请公开</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我单位在依申请公开工作中严格落实《政府信息公开条例》，健全工作机制，强化服务意识，规范公开渠道。紧紧围绕中心工作充实公开内容，提高行政工作透明度。进一步完善政府信息公开申请登记、审核、办理、答复、归档等工作制度。2022年度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单位</w:t>
      </w:r>
      <w:r>
        <w:rPr>
          <w:rFonts w:hint="eastAsia" w:ascii="仿宋_GB2312" w:hAnsi="仿宋_GB2312" w:eastAsia="仿宋_GB2312" w:cs="仿宋_GB2312"/>
          <w:color w:val="000000" w:themeColor="text1"/>
          <w:sz w:val="32"/>
          <w:szCs w:val="32"/>
          <w:lang w:eastAsia="zh-CN"/>
          <w14:textFill>
            <w14:solidFill>
              <w14:schemeClr w14:val="tx1"/>
            </w14:solidFill>
          </w14:textFill>
        </w:rPr>
        <w:t>未收到依申请公开申请，在全年的信息公开工作中，未出现因政府信息公开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工作</w:t>
      </w:r>
      <w:r>
        <w:rPr>
          <w:rFonts w:hint="eastAsia" w:ascii="仿宋_GB2312" w:hAnsi="仿宋_GB2312" w:eastAsia="仿宋_GB2312" w:cs="仿宋_GB2312"/>
          <w:color w:val="000000" w:themeColor="text1"/>
          <w:sz w:val="32"/>
          <w:szCs w:val="32"/>
          <w:lang w:eastAsia="zh-CN"/>
          <w14:textFill>
            <w14:solidFill>
              <w14:schemeClr w14:val="tx1"/>
            </w14:solidFill>
          </w14:textFill>
        </w:rPr>
        <w:t>被申请行政复议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的情况</w:t>
      </w:r>
      <w:r>
        <w:rPr>
          <w:rFonts w:hint="eastAsia" w:ascii="仿宋_GB2312" w:hAnsi="仿宋_GB2312" w:eastAsia="仿宋_GB2312" w:cs="仿宋_GB2312"/>
          <w:color w:val="000000" w:themeColor="text1"/>
          <w:sz w:val="32"/>
          <w:szCs w:val="32"/>
          <w:lang w:eastAsia="zh-CN"/>
          <w14:textFill>
            <w14:solidFill>
              <w14:schemeClr w14:val="tx1"/>
            </w14:solidFill>
          </w14:textFill>
        </w:rPr>
        <w:t>，未</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出现</w:t>
      </w:r>
      <w:r>
        <w:rPr>
          <w:rFonts w:hint="eastAsia" w:ascii="仿宋_GB2312" w:hAnsi="仿宋_GB2312" w:eastAsia="仿宋_GB2312" w:cs="仿宋_GB2312"/>
          <w:color w:val="000000" w:themeColor="text1"/>
          <w:sz w:val="32"/>
          <w:szCs w:val="32"/>
          <w:lang w:eastAsia="zh-CN"/>
          <w14:textFill>
            <w14:solidFill>
              <w14:schemeClr w14:val="tx1"/>
            </w14:solidFill>
          </w14:textFill>
        </w:rPr>
        <w:t>因政府信息公开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工作</w:t>
      </w:r>
      <w:r>
        <w:rPr>
          <w:rFonts w:hint="eastAsia" w:ascii="仿宋_GB2312" w:hAnsi="仿宋_GB2312" w:eastAsia="仿宋_GB2312" w:cs="仿宋_GB2312"/>
          <w:color w:val="000000" w:themeColor="text1"/>
          <w:sz w:val="32"/>
          <w:szCs w:val="32"/>
          <w:lang w:eastAsia="zh-CN"/>
          <w14:textFill>
            <w14:solidFill>
              <w14:schemeClr w14:val="tx1"/>
            </w14:solidFill>
          </w14:textFill>
        </w:rPr>
        <w:t>被提起行政诉讼的情况。</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left="0" w:leftChars="0" w:firstLine="643" w:firstLineChars="200"/>
        <w:jc w:val="both"/>
        <w:textAlignment w:val="auto"/>
        <w:rPr>
          <w:rFonts w:hint="eastAsia" w:ascii="楷体" w:hAnsi="楷体" w:eastAsia="楷体" w:cs="楷体"/>
          <w:b/>
          <w:bCs/>
          <w:color w:val="000000" w:themeColor="text1"/>
          <w:sz w:val="32"/>
          <w:szCs w:val="32"/>
          <w:shd w:val="clear" w:color="auto" w:fill="FFFFFF"/>
          <w14:textFill>
            <w14:solidFill>
              <w14:schemeClr w14:val="tx1"/>
            </w14:solidFill>
          </w14:textFill>
        </w:rPr>
      </w:pPr>
      <w:r>
        <w:rPr>
          <w:rFonts w:hint="eastAsia" w:ascii="楷体" w:hAnsi="楷体" w:eastAsia="楷体" w:cs="楷体"/>
          <w:b/>
          <w:bCs/>
          <w:color w:val="000000" w:themeColor="text1"/>
          <w:sz w:val="32"/>
          <w:szCs w:val="32"/>
          <w:shd w:val="clear" w:color="auto" w:fill="FFFFFF"/>
          <w14:textFill>
            <w14:solidFill>
              <w14:schemeClr w14:val="tx1"/>
            </w14:solidFill>
          </w14:textFill>
        </w:rPr>
        <w:t>（三）政府信息管理</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jc w:val="both"/>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2022年，我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单位</w:t>
      </w:r>
      <w:r>
        <w:rPr>
          <w:rFonts w:hint="eastAsia" w:ascii="仿宋_GB2312" w:hAnsi="仿宋_GB2312" w:eastAsia="仿宋_GB2312" w:cs="仿宋_GB2312"/>
          <w:color w:val="000000" w:themeColor="text1"/>
          <w:sz w:val="32"/>
          <w:szCs w:val="32"/>
          <w14:textFill>
            <w14:solidFill>
              <w14:schemeClr w14:val="tx1"/>
            </w14:solidFill>
          </w14:textFill>
        </w:rPr>
        <w:t>加强组织领导，建立工作机构，落实“主要领导亲自抓，分管领导具体抓，职能部门抓落实”的工作机制，推进</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部门</w:t>
      </w:r>
      <w:r>
        <w:rPr>
          <w:rFonts w:hint="eastAsia" w:ascii="仿宋_GB2312" w:hAnsi="仿宋_GB2312" w:eastAsia="仿宋_GB2312" w:cs="仿宋_GB2312"/>
          <w:color w:val="000000" w:themeColor="text1"/>
          <w:sz w:val="32"/>
          <w:szCs w:val="32"/>
          <w14:textFill>
            <w14:solidFill>
              <w14:schemeClr w14:val="tx1"/>
            </w14:solidFill>
          </w14:textFill>
        </w:rPr>
        <w:t>信息公开工作有序开展。我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单位</w:t>
      </w:r>
      <w:r>
        <w:rPr>
          <w:rFonts w:hint="eastAsia" w:ascii="仿宋_GB2312" w:hAnsi="仿宋_GB2312" w:eastAsia="仿宋_GB2312" w:cs="仿宋_GB2312"/>
          <w:color w:val="000000" w:themeColor="text1"/>
          <w:sz w:val="32"/>
          <w:szCs w:val="32"/>
          <w14:textFill>
            <w14:solidFill>
              <w14:schemeClr w14:val="tx1"/>
            </w14:solidFill>
          </w14:textFill>
        </w:rPr>
        <w:t>按照县政府统一部署，加强组织领导，健全工作机制，认真贯彻《中华人民共和国政府信息公开条例》的各项要求，扎实推进旅游品牌宣传推介</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旅游招商引资</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研学旅行</w:t>
      </w:r>
      <w:r>
        <w:rPr>
          <w:rFonts w:hint="eastAsia" w:ascii="仿宋_GB2312" w:hAnsi="仿宋_GB2312" w:eastAsia="仿宋_GB2312" w:cs="仿宋_GB2312"/>
          <w:color w:val="000000" w:themeColor="text1"/>
          <w:sz w:val="32"/>
          <w:szCs w:val="32"/>
          <w:lang w:eastAsia="zh-CN"/>
          <w14:textFill>
            <w14:solidFill>
              <w14:schemeClr w14:val="tx1"/>
            </w14:solidFill>
          </w14:textFill>
        </w:rPr>
        <w:t>工作</w:t>
      </w:r>
      <w:r>
        <w:rPr>
          <w:rFonts w:hint="eastAsia" w:ascii="仿宋_GB2312" w:hAnsi="仿宋_GB2312" w:eastAsia="仿宋_GB2312" w:cs="仿宋_GB2312"/>
          <w:color w:val="000000" w:themeColor="text1"/>
          <w:sz w:val="32"/>
          <w:szCs w:val="32"/>
          <w14:textFill>
            <w14:solidFill>
              <w14:schemeClr w14:val="tx1"/>
            </w14:solidFill>
          </w14:textFill>
        </w:rPr>
        <w:t>行政信息公开工作，切实为公民、法人和其他组织提供直接、全面、真实</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旅游品牌宣传推介</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旅游招商引资</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研学旅行</w:t>
      </w:r>
      <w:r>
        <w:rPr>
          <w:rFonts w:hint="eastAsia" w:ascii="仿宋_GB2312" w:hAnsi="仿宋_GB2312" w:eastAsia="仿宋_GB2312" w:cs="仿宋_GB2312"/>
          <w:color w:val="000000" w:themeColor="text1"/>
          <w:sz w:val="32"/>
          <w:szCs w:val="32"/>
          <w:lang w:eastAsia="zh-CN"/>
          <w14:textFill>
            <w14:solidFill>
              <w14:schemeClr w14:val="tx1"/>
            </w14:solidFill>
          </w14:textFill>
        </w:rPr>
        <w:t>工作</w:t>
      </w:r>
      <w:r>
        <w:rPr>
          <w:rFonts w:hint="eastAsia" w:ascii="仿宋_GB2312" w:hAnsi="仿宋_GB2312" w:eastAsia="仿宋_GB2312" w:cs="仿宋_GB2312"/>
          <w:color w:val="000000" w:themeColor="text1"/>
          <w:sz w:val="32"/>
          <w:szCs w:val="32"/>
          <w14:textFill>
            <w14:solidFill>
              <w14:schemeClr w14:val="tx1"/>
            </w14:solidFill>
          </w14:textFill>
        </w:rPr>
        <w:t>行政信息。加强对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单位</w:t>
      </w:r>
      <w:r>
        <w:rPr>
          <w:rFonts w:hint="eastAsia" w:ascii="仿宋_GB2312" w:hAnsi="仿宋_GB2312" w:eastAsia="仿宋_GB2312" w:cs="仿宋_GB2312"/>
          <w:color w:val="000000" w:themeColor="text1"/>
          <w:sz w:val="32"/>
          <w:szCs w:val="32"/>
          <w14:textFill>
            <w14:solidFill>
              <w14:schemeClr w14:val="tx1"/>
            </w14:solidFill>
          </w14:textFill>
        </w:rPr>
        <w:t>信息公开的督促，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单位内部</w:t>
      </w:r>
      <w:r>
        <w:rPr>
          <w:rFonts w:hint="eastAsia" w:ascii="仿宋_GB2312" w:hAnsi="仿宋_GB2312" w:eastAsia="仿宋_GB2312" w:cs="仿宋_GB2312"/>
          <w:color w:val="000000" w:themeColor="text1"/>
          <w:sz w:val="32"/>
          <w:szCs w:val="32"/>
          <w14:textFill>
            <w14:solidFill>
              <w14:schemeClr w14:val="tx1"/>
            </w14:solidFill>
          </w14:textFill>
        </w:rPr>
        <w:t>各有关股室也建立起了工作联系制度。</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jc w:val="both"/>
        <w:textAlignment w:val="auto"/>
        <w:rPr>
          <w:rFonts w:ascii="楷体" w:hAnsi="楷体" w:eastAsia="楷体" w:cs="楷体"/>
          <w:b/>
          <w:bCs/>
          <w:color w:val="333333"/>
          <w:sz w:val="32"/>
          <w:szCs w:val="32"/>
          <w:shd w:val="clear" w:color="auto" w:fill="FFFFFF"/>
        </w:rPr>
      </w:pPr>
      <w:r>
        <w:rPr>
          <w:rFonts w:hint="eastAsia" w:ascii="楷体" w:hAnsi="楷体" w:eastAsia="楷体" w:cs="楷体"/>
          <w:b/>
          <w:bCs/>
          <w:color w:val="333333"/>
          <w:sz w:val="32"/>
          <w:szCs w:val="32"/>
          <w:shd w:val="clear" w:color="auto" w:fill="FFFFFF"/>
        </w:rPr>
        <w:t>（四）平台建设</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单位按照县政务公开文件精神，精确规划、标准建设，及时准确公布相关政务信息，通过婺源县政府门户网站管理平台及时公开信息。本单位页面工作动态专栏定期公布旅游招商工作和旅游宣传推广工作信息，方便群众及时获取信息。安排专人负责政务网信息公开的维护管理和公开信息的编辑、审核，有效保证了网站信息更新速率和数量。</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580" w:lineRule="exact"/>
        <w:ind w:firstLine="640"/>
        <w:jc w:val="both"/>
        <w:textAlignment w:val="auto"/>
        <w:rPr>
          <w:rFonts w:ascii="楷体" w:hAnsi="楷体" w:eastAsia="楷体" w:cs="楷体"/>
          <w:b/>
          <w:bCs/>
          <w:color w:val="333333"/>
          <w:sz w:val="32"/>
          <w:szCs w:val="32"/>
          <w:shd w:val="clear" w:color="auto" w:fill="FFFFFF"/>
        </w:rPr>
      </w:pPr>
      <w:r>
        <w:rPr>
          <w:rFonts w:hint="eastAsia" w:ascii="楷体" w:hAnsi="楷体" w:eastAsia="楷体" w:cs="楷体"/>
          <w:b/>
          <w:bCs/>
          <w:color w:val="333333"/>
          <w:sz w:val="32"/>
          <w:szCs w:val="32"/>
          <w:shd w:val="clear" w:color="auto" w:fill="FFFFFF"/>
        </w:rPr>
        <w:t>（五）监督保障</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textAlignment w:val="auto"/>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b/>
          <w:bCs/>
          <w:color w:val="000000"/>
          <w:kern w:val="0"/>
          <w:sz w:val="32"/>
          <w:szCs w:val="32"/>
          <w:lang w:val="en-US" w:eastAsia="zh-CN"/>
        </w:rPr>
        <w:t>一是</w:t>
      </w:r>
      <w:r>
        <w:rPr>
          <w:rFonts w:hint="eastAsia" w:ascii="仿宋_GB2312" w:hAnsi="宋体" w:eastAsia="仿宋_GB2312" w:cs="宋体"/>
          <w:color w:val="000000"/>
          <w:kern w:val="0"/>
          <w:sz w:val="32"/>
          <w:szCs w:val="32"/>
          <w:lang w:val="en-US" w:eastAsia="zh-CN"/>
        </w:rPr>
        <w:t>加强组织领导。我中心高度重视政务公开和政府信息公开工作，按照《中华人民共和国政府信息公开条例》及相关文件的精神，及时成立了县全域旅游发展中心政务公开领导小组，并将此项工作列入本单位重要日常工作。</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textAlignment w:val="auto"/>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b/>
          <w:bCs/>
          <w:color w:val="000000"/>
          <w:kern w:val="0"/>
          <w:sz w:val="32"/>
          <w:szCs w:val="32"/>
          <w:lang w:val="en-US" w:eastAsia="zh-CN"/>
        </w:rPr>
        <w:t>二是</w:t>
      </w:r>
      <w:r>
        <w:rPr>
          <w:rFonts w:hint="eastAsia" w:ascii="仿宋_GB2312" w:hAnsi="宋体" w:eastAsia="仿宋_GB2312" w:cs="宋体"/>
          <w:color w:val="000000"/>
          <w:kern w:val="0"/>
          <w:sz w:val="32"/>
          <w:szCs w:val="32"/>
          <w:lang w:val="en-US" w:eastAsia="zh-CN"/>
        </w:rPr>
        <w:t>加强专业人才培养。我中心指定专人负责此项工作，不断加强信息公开工作人员的保密审查教育和业务培训工作，提升业务能力水平。</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b/>
          <w:bCs/>
          <w:color w:val="000000"/>
          <w:kern w:val="0"/>
          <w:sz w:val="32"/>
          <w:szCs w:val="32"/>
          <w:lang w:val="en-US" w:eastAsia="zh-CN"/>
        </w:rPr>
        <w:t>三是</w:t>
      </w:r>
      <w:r>
        <w:rPr>
          <w:rFonts w:hint="eastAsia" w:ascii="仿宋_GB2312" w:hAnsi="宋体" w:eastAsia="仿宋_GB2312" w:cs="宋体"/>
          <w:color w:val="000000"/>
          <w:kern w:val="0"/>
          <w:sz w:val="32"/>
          <w:szCs w:val="32"/>
          <w:lang w:val="en-US" w:eastAsia="zh-CN"/>
        </w:rPr>
        <w:t>切实加强管理。</w:t>
      </w:r>
      <w:r>
        <w:rPr>
          <w:rFonts w:hint="eastAsia" w:ascii="仿宋_GB2312" w:hAnsi="宋体" w:eastAsia="仿宋_GB2312" w:cs="宋体"/>
          <w:color w:val="000000"/>
          <w:kern w:val="0"/>
          <w:sz w:val="32"/>
          <w:szCs w:val="32"/>
        </w:rPr>
        <w:t>广泛听取群众对信息公开工作的意见和要求，充分发挥社会监督作用。</w:t>
      </w:r>
      <w:r>
        <w:rPr>
          <w:rFonts w:hint="eastAsia" w:ascii="仿宋_GB2312" w:hAnsi="宋体" w:eastAsia="仿宋_GB2312" w:cs="宋体"/>
          <w:color w:val="000000"/>
          <w:kern w:val="0"/>
          <w:sz w:val="32"/>
          <w:szCs w:val="32"/>
          <w:lang w:eastAsia="zh-CN"/>
        </w:rPr>
        <w:t>同时，</w:t>
      </w:r>
      <w:r>
        <w:rPr>
          <w:rFonts w:hint="eastAsia" w:ascii="仿宋_GB2312" w:hAnsi="宋体" w:eastAsia="仿宋_GB2312" w:cs="宋体"/>
          <w:color w:val="000000"/>
          <w:kern w:val="0"/>
          <w:sz w:val="32"/>
          <w:szCs w:val="32"/>
        </w:rPr>
        <w:t>建立健全</w:t>
      </w:r>
      <w:r>
        <w:rPr>
          <w:rFonts w:hint="eastAsia" w:ascii="仿宋_GB2312" w:hAnsi="宋体" w:eastAsia="仿宋_GB2312" w:cs="宋体"/>
          <w:color w:val="000000"/>
          <w:kern w:val="0"/>
          <w:sz w:val="32"/>
          <w:szCs w:val="32"/>
          <w:lang w:val="en-US" w:eastAsia="zh-CN"/>
        </w:rPr>
        <w:t>政务公开和</w:t>
      </w:r>
      <w:r>
        <w:rPr>
          <w:rFonts w:hint="eastAsia" w:ascii="仿宋_GB2312" w:hAnsi="宋体" w:eastAsia="仿宋_GB2312" w:cs="宋体"/>
          <w:color w:val="000000"/>
          <w:kern w:val="0"/>
          <w:sz w:val="32"/>
          <w:szCs w:val="32"/>
        </w:rPr>
        <w:t>政府信息公开工作考核机制</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严格执行信息发布审核和依申请公开等机制，建立内外部监督，建立考核机制。</w:t>
      </w:r>
    </w:p>
    <w:p>
      <w:pPr>
        <w:pStyle w:val="5"/>
        <w:keepNext w:val="0"/>
        <w:keepLines w:val="0"/>
        <w:pageBreakBefore w:val="0"/>
        <w:widowControl/>
        <w:shd w:val="clear" w:color="auto" w:fill="FFFFFF"/>
        <w:kinsoku/>
        <w:wordWrap/>
        <w:overflowPunct/>
        <w:topLinePunct w:val="0"/>
        <w:autoSpaceDE/>
        <w:autoSpaceDN/>
        <w:bidi w:val="0"/>
        <w:spacing w:beforeAutospacing="0" w:afterAutospacing="0" w:line="580" w:lineRule="exact"/>
        <w:ind w:firstLine="640"/>
        <w:jc w:val="both"/>
        <w:textAlignment w:val="auto"/>
        <w:rPr>
          <w:rFonts w:hint="eastAsia" w:ascii="黑体" w:hAnsi="黑体" w:eastAsia="黑体" w:cs="黑体"/>
          <w:bCs/>
          <w:color w:val="000000" w:themeColor="text1"/>
          <w:sz w:val="32"/>
          <w:szCs w:val="32"/>
          <w:shd w:val="clear" w:color="auto" w:fill="FFFFFF"/>
          <w14:textFill>
            <w14:solidFill>
              <w14:schemeClr w14:val="tx1"/>
            </w14:solidFill>
          </w14:textFill>
        </w:rPr>
      </w:pPr>
      <w:r>
        <w:rPr>
          <w:rFonts w:hint="eastAsia" w:ascii="黑体" w:hAnsi="黑体" w:eastAsia="黑体" w:cs="黑体"/>
          <w:bCs/>
          <w:color w:val="000000" w:themeColor="text1"/>
          <w:sz w:val="32"/>
          <w:szCs w:val="32"/>
          <w:shd w:val="clear" w:color="auto" w:fill="FFFFFF"/>
          <w:lang w:eastAsia="zh-CN"/>
          <w14:textFill>
            <w14:solidFill>
              <w14:schemeClr w14:val="tx1"/>
            </w14:solidFill>
          </w14:textFill>
        </w:rPr>
        <w:t>二、</w:t>
      </w:r>
      <w:r>
        <w:rPr>
          <w:rFonts w:hint="eastAsia" w:ascii="黑体" w:hAnsi="黑体" w:eastAsia="黑体" w:cs="黑体"/>
          <w:bCs/>
          <w:color w:val="000000" w:themeColor="text1"/>
          <w:sz w:val="32"/>
          <w:szCs w:val="32"/>
          <w:shd w:val="clear" w:color="auto" w:fill="FFFFFF"/>
          <w14:textFill>
            <w14:solidFill>
              <w14:schemeClr w14:val="tx1"/>
            </w14:solidFill>
          </w14:textFill>
        </w:rPr>
        <w:t>主动公开政府信息情况</w:t>
      </w:r>
    </w:p>
    <w:tbl>
      <w:tblPr>
        <w:tblStyle w:val="6"/>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1"/>
        <w:gridCol w:w="2173"/>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ind w:firstLine="480"/>
              <w:jc w:val="center"/>
              <w:rPr>
                <w:rFonts w:ascii="仿宋" w:hAnsi="仿宋" w:eastAsia="仿宋" w:cs="仿宋"/>
                <w:sz w:val="24"/>
              </w:rPr>
            </w:pPr>
            <w:r>
              <w:rPr>
                <w:rFonts w:hint="eastAsia" w:ascii="仿宋" w:hAnsi="仿宋" w:eastAsia="仿宋" w:cs="仿宋"/>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991" w:type="dxa"/>
            <w:shd w:val="clear" w:color="auto" w:fill="auto"/>
          </w:tcPr>
          <w:p>
            <w:pPr>
              <w:spacing w:line="460" w:lineRule="exact"/>
              <w:ind w:left="0" w:leftChars="0" w:firstLine="0" w:firstLineChars="0"/>
              <w:jc w:val="both"/>
              <w:rPr>
                <w:rFonts w:ascii="仿宋" w:hAnsi="仿宋" w:eastAsia="仿宋" w:cs="仿宋"/>
                <w:sz w:val="24"/>
              </w:rPr>
            </w:pPr>
            <w:r>
              <w:rPr>
                <w:rFonts w:hint="eastAsia" w:ascii="仿宋" w:hAnsi="仿宋" w:eastAsia="仿宋" w:cs="仿宋"/>
                <w:sz w:val="24"/>
              </w:rPr>
              <w:t>信息内容</w:t>
            </w:r>
          </w:p>
        </w:tc>
        <w:tc>
          <w:tcPr>
            <w:tcW w:w="2173" w:type="dxa"/>
            <w:shd w:val="clear" w:color="auto" w:fill="auto"/>
          </w:tcPr>
          <w:p>
            <w:pPr>
              <w:spacing w:line="460" w:lineRule="exact"/>
              <w:ind w:left="0" w:leftChars="0" w:firstLine="0" w:firstLineChars="0"/>
              <w:jc w:val="both"/>
              <w:rPr>
                <w:rFonts w:ascii="仿宋" w:hAnsi="仿宋" w:eastAsia="仿宋" w:cs="仿宋"/>
                <w:sz w:val="24"/>
              </w:rPr>
            </w:pPr>
            <w:r>
              <w:rPr>
                <w:rFonts w:hint="eastAsia" w:ascii="仿宋" w:hAnsi="仿宋" w:eastAsia="仿宋" w:cs="仿宋"/>
                <w:sz w:val="24"/>
              </w:rPr>
              <w:t>本年制发件数</w:t>
            </w:r>
          </w:p>
        </w:tc>
        <w:tc>
          <w:tcPr>
            <w:tcW w:w="2025" w:type="dxa"/>
            <w:shd w:val="clear" w:color="auto" w:fill="auto"/>
          </w:tcPr>
          <w:p>
            <w:pPr>
              <w:spacing w:line="460" w:lineRule="exact"/>
              <w:ind w:left="0" w:leftChars="0" w:firstLine="0" w:firstLineChars="0"/>
              <w:jc w:val="both"/>
              <w:rPr>
                <w:rFonts w:ascii="仿宋" w:hAnsi="仿宋" w:eastAsia="仿宋" w:cs="仿宋"/>
                <w:sz w:val="24"/>
              </w:rPr>
            </w:pPr>
            <w:r>
              <w:rPr>
                <w:rFonts w:hint="eastAsia" w:ascii="仿宋" w:hAnsi="仿宋" w:eastAsia="仿宋" w:cs="仿宋"/>
                <w:sz w:val="24"/>
              </w:rPr>
              <w:t>本年废止件数</w:t>
            </w:r>
          </w:p>
        </w:tc>
        <w:tc>
          <w:tcPr>
            <w:tcW w:w="2295" w:type="dxa"/>
            <w:shd w:val="clear" w:color="auto" w:fill="auto"/>
          </w:tcPr>
          <w:p>
            <w:pPr>
              <w:spacing w:line="460" w:lineRule="exact"/>
              <w:ind w:left="0" w:leftChars="0" w:firstLine="0" w:firstLineChars="0"/>
              <w:jc w:val="both"/>
              <w:rPr>
                <w:rFonts w:ascii="仿宋" w:hAnsi="仿宋" w:eastAsia="仿宋" w:cs="仿宋"/>
                <w:sz w:val="24"/>
              </w:rPr>
            </w:pPr>
            <w:r>
              <w:rPr>
                <w:rFonts w:hint="eastAsia" w:ascii="仿宋" w:hAnsi="仿宋" w:eastAsia="仿宋" w:cs="仿宋"/>
                <w:sz w:val="24"/>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shd w:val="clear" w:color="auto" w:fill="auto"/>
            <w:vAlign w:val="center"/>
          </w:tcPr>
          <w:p>
            <w:pPr>
              <w:spacing w:line="460" w:lineRule="exact"/>
              <w:ind w:left="0" w:leftChars="0" w:firstLine="0" w:firstLineChars="0"/>
              <w:jc w:val="both"/>
              <w:rPr>
                <w:rFonts w:ascii="仿宋" w:hAnsi="仿宋" w:eastAsia="仿宋" w:cs="仿宋"/>
                <w:sz w:val="24"/>
              </w:rPr>
            </w:pPr>
            <w:r>
              <w:rPr>
                <w:rFonts w:hint="eastAsia" w:ascii="仿宋" w:hAnsi="仿宋" w:eastAsia="仿宋" w:cs="仿宋"/>
                <w:sz w:val="24"/>
              </w:rPr>
              <w:t>规章</w:t>
            </w:r>
          </w:p>
        </w:tc>
        <w:tc>
          <w:tcPr>
            <w:tcW w:w="2173" w:type="dxa"/>
            <w:shd w:val="clear" w:color="auto" w:fill="auto"/>
          </w:tcPr>
          <w:p>
            <w:pPr>
              <w:spacing w:line="460" w:lineRule="exact"/>
              <w:ind w:firstLine="420"/>
              <w:jc w:val="center"/>
              <w:rPr>
                <w:rFonts w:hint="eastAsia" w:ascii="仿宋" w:hAnsi="仿宋" w:eastAsia="仿宋" w:cs="仿宋"/>
                <w:szCs w:val="21"/>
                <w:lang w:val="en-US" w:eastAsia="zh-CN"/>
              </w:rPr>
            </w:pPr>
            <w:r>
              <w:rPr>
                <w:rFonts w:hint="eastAsia" w:ascii="仿宋" w:hAnsi="仿宋" w:eastAsia="仿宋" w:cs="仿宋"/>
                <w:szCs w:val="21"/>
                <w:lang w:val="en-US" w:eastAsia="zh-CN"/>
              </w:rPr>
              <w:t>0</w:t>
            </w:r>
          </w:p>
        </w:tc>
        <w:tc>
          <w:tcPr>
            <w:tcW w:w="2025" w:type="dxa"/>
            <w:shd w:val="clear" w:color="auto" w:fill="auto"/>
          </w:tcPr>
          <w:p>
            <w:pPr>
              <w:spacing w:line="460" w:lineRule="exact"/>
              <w:ind w:firstLine="420"/>
              <w:jc w:val="center"/>
              <w:rPr>
                <w:rFonts w:hint="eastAsia" w:ascii="仿宋" w:hAnsi="仿宋" w:eastAsia="仿宋" w:cs="仿宋"/>
                <w:szCs w:val="21"/>
                <w:lang w:val="en-US" w:eastAsia="zh-CN"/>
              </w:rPr>
            </w:pPr>
            <w:r>
              <w:rPr>
                <w:rFonts w:hint="eastAsia" w:ascii="仿宋" w:hAnsi="仿宋" w:eastAsia="仿宋" w:cs="仿宋"/>
                <w:szCs w:val="21"/>
                <w:lang w:val="en-US" w:eastAsia="zh-CN"/>
              </w:rPr>
              <w:t>0</w:t>
            </w:r>
          </w:p>
        </w:tc>
        <w:tc>
          <w:tcPr>
            <w:tcW w:w="2295" w:type="dxa"/>
            <w:shd w:val="clear" w:color="auto" w:fill="auto"/>
          </w:tcPr>
          <w:p>
            <w:pPr>
              <w:spacing w:line="460" w:lineRule="exact"/>
              <w:ind w:firstLine="420"/>
              <w:jc w:val="center"/>
              <w:rPr>
                <w:rFonts w:hint="eastAsia" w:ascii="仿宋" w:hAnsi="仿宋" w:eastAsia="仿宋" w:cs="仿宋"/>
                <w:szCs w:val="21"/>
                <w:lang w:val="en-US" w:eastAsia="zh-CN"/>
              </w:rPr>
            </w:pPr>
            <w:r>
              <w:rPr>
                <w:rFonts w:hint="eastAsia" w:ascii="仿宋" w:hAnsi="仿宋" w:eastAsia="仿宋" w:cs="仿宋"/>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shd w:val="clear" w:color="auto" w:fill="auto"/>
          </w:tcPr>
          <w:p>
            <w:pPr>
              <w:spacing w:line="460" w:lineRule="exact"/>
              <w:ind w:left="0" w:leftChars="0" w:firstLine="0" w:firstLineChars="0"/>
              <w:jc w:val="both"/>
              <w:rPr>
                <w:rFonts w:ascii="仿宋" w:hAnsi="仿宋" w:eastAsia="仿宋" w:cs="仿宋"/>
                <w:sz w:val="24"/>
              </w:rPr>
            </w:pPr>
            <w:r>
              <w:rPr>
                <w:rFonts w:hint="eastAsia" w:ascii="仿宋" w:hAnsi="仿宋" w:eastAsia="仿宋" w:cs="仿宋"/>
                <w:sz w:val="24"/>
              </w:rPr>
              <w:t>行政规范性文件</w:t>
            </w:r>
          </w:p>
        </w:tc>
        <w:tc>
          <w:tcPr>
            <w:tcW w:w="2173" w:type="dxa"/>
            <w:shd w:val="clear" w:color="auto" w:fill="auto"/>
          </w:tcPr>
          <w:p>
            <w:pPr>
              <w:spacing w:line="460" w:lineRule="exact"/>
              <w:ind w:firstLine="420"/>
              <w:jc w:val="center"/>
              <w:rPr>
                <w:rFonts w:hint="default" w:ascii="仿宋" w:hAnsi="仿宋" w:eastAsia="仿宋" w:cs="仿宋"/>
                <w:szCs w:val="21"/>
                <w:lang w:val="en-US" w:eastAsia="zh-CN"/>
              </w:rPr>
            </w:pPr>
            <w:r>
              <w:rPr>
                <w:rFonts w:hint="eastAsia" w:ascii="仿宋" w:hAnsi="仿宋" w:eastAsia="仿宋" w:cs="仿宋"/>
                <w:szCs w:val="21"/>
                <w:lang w:val="en-US" w:eastAsia="zh-CN"/>
              </w:rPr>
              <w:t>2</w:t>
            </w:r>
          </w:p>
        </w:tc>
        <w:tc>
          <w:tcPr>
            <w:tcW w:w="2025" w:type="dxa"/>
            <w:shd w:val="clear" w:color="auto" w:fill="auto"/>
          </w:tcPr>
          <w:p>
            <w:pPr>
              <w:spacing w:line="460" w:lineRule="exact"/>
              <w:ind w:firstLine="420"/>
              <w:jc w:val="center"/>
              <w:rPr>
                <w:rFonts w:hint="eastAsia" w:ascii="仿宋" w:hAnsi="仿宋" w:eastAsia="仿宋" w:cs="仿宋"/>
                <w:szCs w:val="21"/>
                <w:lang w:val="en-US" w:eastAsia="zh-CN"/>
              </w:rPr>
            </w:pPr>
            <w:r>
              <w:rPr>
                <w:rFonts w:hint="eastAsia" w:ascii="仿宋" w:hAnsi="仿宋" w:eastAsia="仿宋" w:cs="仿宋"/>
                <w:szCs w:val="21"/>
                <w:lang w:val="en-US" w:eastAsia="zh-CN"/>
              </w:rPr>
              <w:t>0</w:t>
            </w:r>
          </w:p>
        </w:tc>
        <w:tc>
          <w:tcPr>
            <w:tcW w:w="2295" w:type="dxa"/>
            <w:shd w:val="clear" w:color="auto" w:fill="auto"/>
          </w:tcPr>
          <w:p>
            <w:pPr>
              <w:spacing w:line="460" w:lineRule="exact"/>
              <w:ind w:firstLine="420"/>
              <w:jc w:val="center"/>
              <w:rPr>
                <w:rFonts w:hint="eastAsia" w:ascii="仿宋" w:hAnsi="仿宋" w:eastAsia="仿宋" w:cs="仿宋"/>
                <w:szCs w:val="21"/>
                <w:lang w:val="en-US" w:eastAsia="zh-CN"/>
              </w:rPr>
            </w:pPr>
            <w:r>
              <w:rPr>
                <w:rFonts w:hint="eastAsia" w:ascii="仿宋" w:hAnsi="仿宋" w:eastAsia="仿宋" w:cs="仿宋"/>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ind w:firstLine="480"/>
              <w:jc w:val="center"/>
              <w:rPr>
                <w:rFonts w:ascii="仿宋" w:hAnsi="仿宋" w:eastAsia="仿宋" w:cs="仿宋"/>
                <w:sz w:val="24"/>
              </w:rPr>
            </w:pPr>
            <w:r>
              <w:rPr>
                <w:rFonts w:hint="eastAsia" w:ascii="仿宋" w:hAnsi="仿宋" w:eastAsia="仿宋" w:cs="仿宋"/>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shd w:val="clear" w:color="auto" w:fill="auto"/>
          </w:tcPr>
          <w:p>
            <w:pPr>
              <w:spacing w:line="460" w:lineRule="exact"/>
              <w:ind w:firstLine="480"/>
              <w:jc w:val="center"/>
              <w:rPr>
                <w:rFonts w:ascii="仿宋" w:hAnsi="仿宋" w:eastAsia="仿宋" w:cs="仿宋"/>
                <w:sz w:val="24"/>
              </w:rPr>
            </w:pPr>
            <w:r>
              <w:rPr>
                <w:rFonts w:hint="eastAsia" w:ascii="仿宋" w:hAnsi="仿宋" w:eastAsia="仿宋" w:cs="仿宋"/>
                <w:sz w:val="24"/>
              </w:rPr>
              <w:t>信息内容</w:t>
            </w:r>
          </w:p>
        </w:tc>
        <w:tc>
          <w:tcPr>
            <w:tcW w:w="6493" w:type="dxa"/>
            <w:gridSpan w:val="3"/>
            <w:shd w:val="clear" w:color="auto" w:fill="auto"/>
          </w:tcPr>
          <w:p>
            <w:pPr>
              <w:spacing w:line="460" w:lineRule="exact"/>
              <w:ind w:firstLine="480"/>
              <w:jc w:val="center"/>
              <w:rPr>
                <w:rFonts w:ascii="仿宋" w:hAnsi="仿宋" w:eastAsia="仿宋" w:cs="仿宋"/>
                <w:sz w:val="24"/>
              </w:rPr>
            </w:pPr>
            <w:r>
              <w:rPr>
                <w:rFonts w:hint="eastAsia" w:ascii="仿宋" w:hAnsi="仿宋" w:eastAsia="仿宋" w:cs="仿宋"/>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shd w:val="clear" w:color="auto" w:fill="auto"/>
          </w:tcPr>
          <w:p>
            <w:pPr>
              <w:spacing w:line="460" w:lineRule="exact"/>
              <w:ind w:firstLine="480"/>
              <w:jc w:val="center"/>
              <w:rPr>
                <w:rFonts w:ascii="仿宋" w:hAnsi="仿宋" w:eastAsia="仿宋" w:cs="仿宋"/>
                <w:sz w:val="24"/>
              </w:rPr>
            </w:pPr>
            <w:r>
              <w:rPr>
                <w:rFonts w:hint="eastAsia" w:ascii="仿宋" w:hAnsi="仿宋" w:eastAsia="仿宋" w:cs="仿宋"/>
                <w:sz w:val="24"/>
              </w:rPr>
              <w:t>行政许可</w:t>
            </w:r>
          </w:p>
        </w:tc>
        <w:tc>
          <w:tcPr>
            <w:tcW w:w="6493" w:type="dxa"/>
            <w:gridSpan w:val="3"/>
            <w:shd w:val="clear" w:color="auto" w:fill="auto"/>
          </w:tcPr>
          <w:p>
            <w:pPr>
              <w:spacing w:line="460" w:lineRule="exact"/>
              <w:ind w:firstLine="420"/>
              <w:jc w:val="center"/>
              <w:rPr>
                <w:rFonts w:hint="eastAsia" w:ascii="仿宋" w:hAnsi="仿宋" w:eastAsia="仿宋" w:cs="仿宋"/>
                <w:color w:val="FF0000"/>
                <w:szCs w:val="21"/>
                <w:lang w:val="en-US" w:eastAsia="zh-CN"/>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ind w:firstLine="480"/>
              <w:jc w:val="center"/>
              <w:rPr>
                <w:rFonts w:ascii="仿宋" w:hAnsi="仿宋" w:eastAsia="仿宋" w:cs="仿宋"/>
                <w:sz w:val="24"/>
              </w:rPr>
            </w:pPr>
            <w:r>
              <w:rPr>
                <w:rFonts w:hint="eastAsia" w:ascii="仿宋" w:hAnsi="仿宋" w:eastAsia="仿宋" w:cs="仿宋"/>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shd w:val="clear" w:color="auto" w:fill="auto"/>
          </w:tcPr>
          <w:p>
            <w:pPr>
              <w:spacing w:line="460" w:lineRule="exact"/>
              <w:ind w:firstLine="480"/>
              <w:jc w:val="center"/>
              <w:rPr>
                <w:rFonts w:ascii="仿宋" w:hAnsi="仿宋" w:eastAsia="仿宋" w:cs="仿宋"/>
                <w:sz w:val="24"/>
              </w:rPr>
            </w:pPr>
            <w:r>
              <w:rPr>
                <w:rFonts w:hint="eastAsia" w:ascii="仿宋" w:hAnsi="仿宋" w:eastAsia="仿宋" w:cs="仿宋"/>
                <w:sz w:val="24"/>
              </w:rPr>
              <w:t>信息内容</w:t>
            </w:r>
          </w:p>
        </w:tc>
        <w:tc>
          <w:tcPr>
            <w:tcW w:w="6493" w:type="dxa"/>
            <w:gridSpan w:val="3"/>
            <w:shd w:val="clear" w:color="auto" w:fill="auto"/>
          </w:tcPr>
          <w:p>
            <w:pPr>
              <w:spacing w:line="460" w:lineRule="exact"/>
              <w:ind w:firstLine="480"/>
              <w:jc w:val="center"/>
              <w:rPr>
                <w:rFonts w:ascii="仿宋" w:hAnsi="仿宋" w:eastAsia="仿宋" w:cs="仿宋"/>
                <w:sz w:val="24"/>
              </w:rPr>
            </w:pPr>
            <w:r>
              <w:rPr>
                <w:rFonts w:hint="eastAsia" w:ascii="仿宋" w:hAnsi="仿宋" w:eastAsia="仿宋" w:cs="仿宋"/>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shd w:val="clear" w:color="auto" w:fill="auto"/>
          </w:tcPr>
          <w:p>
            <w:pPr>
              <w:spacing w:line="460" w:lineRule="exact"/>
              <w:ind w:firstLine="480"/>
              <w:jc w:val="center"/>
              <w:rPr>
                <w:rFonts w:ascii="仿宋" w:hAnsi="仿宋" w:eastAsia="仿宋" w:cs="仿宋"/>
                <w:sz w:val="24"/>
              </w:rPr>
            </w:pPr>
            <w:r>
              <w:rPr>
                <w:rFonts w:hint="eastAsia" w:ascii="仿宋" w:hAnsi="仿宋" w:eastAsia="仿宋" w:cs="仿宋"/>
                <w:sz w:val="24"/>
              </w:rPr>
              <w:t>行政处罚</w:t>
            </w:r>
          </w:p>
        </w:tc>
        <w:tc>
          <w:tcPr>
            <w:tcW w:w="6493" w:type="dxa"/>
            <w:gridSpan w:val="3"/>
            <w:shd w:val="clear" w:color="auto" w:fill="auto"/>
          </w:tcPr>
          <w:p>
            <w:pPr>
              <w:spacing w:line="460" w:lineRule="exact"/>
              <w:ind w:firstLine="420"/>
              <w:jc w:val="center"/>
              <w:rPr>
                <w:rFonts w:hint="eastAsia" w:ascii="仿宋" w:hAnsi="仿宋" w:eastAsia="仿宋" w:cs="仿宋"/>
                <w:szCs w:val="21"/>
                <w:lang w:val="en-US" w:eastAsia="zh-CN"/>
              </w:rPr>
            </w:pPr>
            <w:r>
              <w:rPr>
                <w:rFonts w:hint="eastAsia" w:ascii="仿宋" w:hAnsi="仿宋" w:eastAsia="仿宋" w:cs="仿宋"/>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shd w:val="clear" w:color="auto" w:fill="auto"/>
          </w:tcPr>
          <w:p>
            <w:pPr>
              <w:spacing w:line="460" w:lineRule="exact"/>
              <w:ind w:firstLine="480"/>
              <w:jc w:val="center"/>
              <w:rPr>
                <w:rFonts w:ascii="仿宋" w:hAnsi="仿宋" w:eastAsia="仿宋" w:cs="仿宋"/>
                <w:sz w:val="24"/>
              </w:rPr>
            </w:pPr>
            <w:r>
              <w:rPr>
                <w:rFonts w:hint="eastAsia" w:ascii="仿宋" w:hAnsi="仿宋" w:eastAsia="仿宋" w:cs="仿宋"/>
                <w:sz w:val="24"/>
              </w:rPr>
              <w:t>行政强制</w:t>
            </w:r>
          </w:p>
        </w:tc>
        <w:tc>
          <w:tcPr>
            <w:tcW w:w="6493" w:type="dxa"/>
            <w:gridSpan w:val="3"/>
            <w:shd w:val="clear" w:color="auto" w:fill="auto"/>
          </w:tcPr>
          <w:p>
            <w:pPr>
              <w:spacing w:line="460" w:lineRule="exact"/>
              <w:ind w:firstLine="420"/>
              <w:jc w:val="center"/>
              <w:rPr>
                <w:rFonts w:hint="eastAsia" w:ascii="仿宋" w:hAnsi="仿宋" w:eastAsia="仿宋" w:cs="仿宋"/>
                <w:szCs w:val="21"/>
                <w:lang w:val="en-US" w:eastAsia="zh-CN"/>
              </w:rPr>
            </w:pPr>
            <w:r>
              <w:rPr>
                <w:rFonts w:hint="eastAsia" w:ascii="仿宋" w:hAnsi="仿宋" w:eastAsia="仿宋" w:cs="仿宋"/>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ind w:firstLine="480"/>
              <w:jc w:val="center"/>
              <w:rPr>
                <w:rFonts w:ascii="仿宋" w:hAnsi="仿宋" w:eastAsia="仿宋" w:cs="仿宋"/>
                <w:sz w:val="24"/>
              </w:rPr>
            </w:pPr>
            <w:r>
              <w:rPr>
                <w:rFonts w:hint="eastAsia" w:ascii="仿宋" w:hAnsi="仿宋" w:eastAsia="仿宋" w:cs="仿宋"/>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shd w:val="clear" w:color="auto" w:fill="auto"/>
          </w:tcPr>
          <w:p>
            <w:pPr>
              <w:spacing w:line="460" w:lineRule="exact"/>
              <w:ind w:firstLine="480"/>
              <w:jc w:val="center"/>
              <w:rPr>
                <w:rFonts w:ascii="仿宋" w:hAnsi="仿宋" w:eastAsia="仿宋" w:cs="仿宋"/>
                <w:sz w:val="24"/>
              </w:rPr>
            </w:pPr>
            <w:r>
              <w:rPr>
                <w:rFonts w:hint="eastAsia" w:ascii="仿宋" w:hAnsi="仿宋" w:eastAsia="仿宋" w:cs="仿宋"/>
                <w:sz w:val="24"/>
              </w:rPr>
              <w:t>信息内容</w:t>
            </w:r>
          </w:p>
        </w:tc>
        <w:tc>
          <w:tcPr>
            <w:tcW w:w="6493" w:type="dxa"/>
            <w:gridSpan w:val="3"/>
            <w:shd w:val="clear" w:color="auto" w:fill="auto"/>
          </w:tcPr>
          <w:p>
            <w:pPr>
              <w:spacing w:line="460" w:lineRule="exact"/>
              <w:ind w:firstLine="480"/>
              <w:jc w:val="center"/>
              <w:rPr>
                <w:rFonts w:ascii="仿宋" w:hAnsi="仿宋" w:eastAsia="仿宋" w:cs="仿宋"/>
                <w:sz w:val="24"/>
              </w:rPr>
            </w:pPr>
            <w:r>
              <w:rPr>
                <w:rFonts w:hint="eastAsia" w:ascii="仿宋" w:hAnsi="仿宋" w:eastAsia="仿宋" w:cs="仿宋"/>
                <w:sz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shd w:val="clear" w:color="auto" w:fill="auto"/>
          </w:tcPr>
          <w:p>
            <w:pPr>
              <w:spacing w:line="460" w:lineRule="exact"/>
              <w:ind w:left="0" w:leftChars="0" w:firstLine="0" w:firstLineChars="0"/>
              <w:jc w:val="both"/>
              <w:rPr>
                <w:rFonts w:ascii="仿宋" w:hAnsi="仿宋" w:eastAsia="仿宋" w:cs="仿宋"/>
                <w:sz w:val="24"/>
              </w:rPr>
            </w:pPr>
            <w:r>
              <w:rPr>
                <w:rFonts w:hint="eastAsia" w:ascii="仿宋" w:hAnsi="仿宋" w:eastAsia="仿宋" w:cs="仿宋"/>
                <w:sz w:val="24"/>
              </w:rPr>
              <w:t>行政事业性收费</w:t>
            </w:r>
          </w:p>
        </w:tc>
        <w:tc>
          <w:tcPr>
            <w:tcW w:w="6493" w:type="dxa"/>
            <w:gridSpan w:val="3"/>
            <w:shd w:val="clear" w:color="auto" w:fill="auto"/>
          </w:tcPr>
          <w:p>
            <w:pPr>
              <w:spacing w:line="460" w:lineRule="exact"/>
              <w:ind w:firstLine="420"/>
              <w:jc w:val="center"/>
              <w:rPr>
                <w:rFonts w:hint="eastAsia" w:ascii="仿宋" w:hAnsi="仿宋" w:eastAsia="仿宋" w:cs="仿宋"/>
                <w:color w:val="FF0000"/>
                <w:szCs w:val="21"/>
                <w:lang w:val="en-US" w:eastAsia="zh-CN"/>
              </w:rPr>
            </w:pPr>
            <w:r>
              <w:rPr>
                <w:rFonts w:hint="eastAsia" w:ascii="仿宋" w:hAnsi="仿宋" w:eastAsia="仿宋" w:cs="仿宋"/>
                <w:color w:val="000000" w:themeColor="text1"/>
                <w:szCs w:val="21"/>
                <w:highlight w:val="none"/>
                <w:lang w:val="en-US" w:eastAsia="zh-CN"/>
                <w14:textFill>
                  <w14:solidFill>
                    <w14:schemeClr w14:val="tx1"/>
                  </w14:solidFill>
                </w14:textFill>
              </w:rPr>
              <w:t>0</w:t>
            </w:r>
          </w:p>
        </w:tc>
      </w:tr>
    </w:tbl>
    <w:p>
      <w:pPr>
        <w:spacing w:line="540" w:lineRule="exact"/>
        <w:ind w:left="0" w:leftChars="0" w:firstLine="0" w:firstLineChars="0"/>
        <w:rPr>
          <w:rFonts w:ascii="仿宋_GB2312" w:hAnsi="仿宋" w:eastAsia="仿宋_GB2312" w:cs="仿宋"/>
          <w:b/>
          <w:sz w:val="32"/>
          <w:szCs w:val="32"/>
        </w:rPr>
      </w:pPr>
    </w:p>
    <w:p>
      <w:pPr>
        <w:pStyle w:val="5"/>
        <w:keepNext w:val="0"/>
        <w:keepLines w:val="0"/>
        <w:pageBreakBefore w:val="0"/>
        <w:widowControl/>
        <w:shd w:val="clear" w:color="auto" w:fill="FFFFFF"/>
        <w:kinsoku/>
        <w:wordWrap/>
        <w:overflowPunct/>
        <w:topLinePunct w:val="0"/>
        <w:autoSpaceDE/>
        <w:autoSpaceDN/>
        <w:bidi w:val="0"/>
        <w:spacing w:beforeAutospacing="0" w:afterAutospacing="0" w:line="580" w:lineRule="exact"/>
        <w:ind w:firstLine="640"/>
        <w:jc w:val="both"/>
        <w:textAlignment w:val="auto"/>
        <w:rPr>
          <w:rFonts w:hint="eastAsia" w:ascii="黑体" w:hAnsi="黑体" w:eastAsia="黑体" w:cs="黑体"/>
          <w:bCs/>
          <w:color w:val="000000" w:themeColor="text1"/>
          <w:sz w:val="32"/>
          <w:szCs w:val="32"/>
          <w:shd w:val="clear" w:color="auto" w:fill="FFFFFF"/>
          <w14:textFill>
            <w14:solidFill>
              <w14:schemeClr w14:val="tx1"/>
            </w14:solidFill>
          </w14:textFill>
        </w:rPr>
      </w:pPr>
    </w:p>
    <w:p>
      <w:pPr>
        <w:pStyle w:val="5"/>
        <w:keepNext w:val="0"/>
        <w:keepLines w:val="0"/>
        <w:pageBreakBefore w:val="0"/>
        <w:widowControl/>
        <w:shd w:val="clear" w:color="auto" w:fill="FFFFFF"/>
        <w:kinsoku/>
        <w:wordWrap/>
        <w:overflowPunct/>
        <w:topLinePunct w:val="0"/>
        <w:autoSpaceDE/>
        <w:autoSpaceDN/>
        <w:bidi w:val="0"/>
        <w:spacing w:beforeAutospacing="0" w:afterAutospacing="0" w:line="580" w:lineRule="exact"/>
        <w:ind w:firstLine="640"/>
        <w:jc w:val="both"/>
        <w:textAlignment w:val="auto"/>
        <w:rPr>
          <w:rFonts w:hint="eastAsia" w:ascii="黑体" w:hAnsi="黑体" w:eastAsia="黑体" w:cs="黑体"/>
          <w:bCs/>
          <w:color w:val="000000" w:themeColor="text1"/>
          <w:sz w:val="32"/>
          <w:szCs w:val="32"/>
          <w:shd w:val="clear" w:color="auto" w:fill="FFFFFF"/>
          <w14:textFill>
            <w14:solidFill>
              <w14:schemeClr w14:val="tx1"/>
            </w14:solidFill>
          </w14:textFill>
        </w:rPr>
      </w:pPr>
      <w:r>
        <w:rPr>
          <w:rFonts w:hint="eastAsia" w:ascii="黑体" w:hAnsi="黑体" w:eastAsia="黑体" w:cs="黑体"/>
          <w:bCs/>
          <w:color w:val="000000" w:themeColor="text1"/>
          <w:sz w:val="32"/>
          <w:szCs w:val="32"/>
          <w:shd w:val="clear" w:color="auto" w:fill="FFFFFF"/>
          <w14:textFill>
            <w14:solidFill>
              <w14:schemeClr w14:val="tx1"/>
            </w14:solidFill>
          </w14:textFill>
        </w:rPr>
        <w:t>三、收到和处理政府信息公开申请情况</w:t>
      </w:r>
    </w:p>
    <w:tbl>
      <w:tblPr>
        <w:tblStyle w:val="6"/>
        <w:tblW w:w="0" w:type="auto"/>
        <w:jc w:val="center"/>
        <w:tblLayout w:type="fixed"/>
        <w:tblCellMar>
          <w:top w:w="0" w:type="dxa"/>
          <w:left w:w="0" w:type="dxa"/>
          <w:bottom w:w="0" w:type="dxa"/>
          <w:right w:w="0" w:type="dxa"/>
        </w:tblCellMar>
      </w:tblPr>
      <w:tblGrid>
        <w:gridCol w:w="974"/>
        <w:gridCol w:w="1384"/>
        <w:gridCol w:w="3069"/>
        <w:gridCol w:w="413"/>
        <w:gridCol w:w="480"/>
        <w:gridCol w:w="447"/>
        <w:gridCol w:w="440"/>
        <w:gridCol w:w="467"/>
        <w:gridCol w:w="446"/>
        <w:gridCol w:w="379"/>
      </w:tblGrid>
      <w:tr>
        <w:tblPrEx>
          <w:tblCellMar>
            <w:top w:w="0" w:type="dxa"/>
            <w:left w:w="0" w:type="dxa"/>
            <w:bottom w:w="0" w:type="dxa"/>
            <w:right w:w="0" w:type="dxa"/>
          </w:tblCellMar>
        </w:tblPrEx>
        <w:trPr>
          <w:trHeight w:val="543" w:hRule="atLeast"/>
          <w:jc w:val="center"/>
        </w:trPr>
        <w:tc>
          <w:tcPr>
            <w:tcW w:w="5427" w:type="dxa"/>
            <w:gridSpan w:val="3"/>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ind w:left="0" w:leftChars="0" w:firstLine="0" w:firstLineChars="0"/>
              <w:jc w:val="both"/>
              <w:rPr>
                <w:rFonts w:ascii="仿宋" w:hAnsi="仿宋" w:eastAsia="仿宋" w:cs="仿宋"/>
                <w:sz w:val="24"/>
              </w:rPr>
            </w:pPr>
            <w:r>
              <w:rPr>
                <w:rFonts w:ascii="仿宋" w:hAnsi="仿宋" w:eastAsia="仿宋" w:cs="仿宋"/>
                <w:sz w:val="24"/>
              </w:rPr>
              <w:t>（本列数据的勾稽关系为：第一项加第二项之和，等于第三项加第四项之和）</w:t>
            </w:r>
          </w:p>
        </w:tc>
        <w:tc>
          <w:tcPr>
            <w:tcW w:w="3072" w:type="dxa"/>
            <w:gridSpan w:val="7"/>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r>
              <w:rPr>
                <w:rFonts w:hint="eastAsia" w:ascii="仿宋" w:hAnsi="仿宋" w:eastAsia="仿宋" w:cs="仿宋"/>
                <w:sz w:val="24"/>
              </w:rPr>
              <w:t>申请人情况</w:t>
            </w:r>
          </w:p>
        </w:tc>
      </w:tr>
      <w:tr>
        <w:tblPrEx>
          <w:tblCellMar>
            <w:top w:w="0" w:type="dxa"/>
            <w:left w:w="0" w:type="dxa"/>
            <w:bottom w:w="0" w:type="dxa"/>
            <w:right w:w="0" w:type="dxa"/>
          </w:tblCellMar>
        </w:tblPrEx>
        <w:trPr>
          <w:trHeight w:val="543" w:hRule="atLeast"/>
          <w:jc w:val="center"/>
        </w:trPr>
        <w:tc>
          <w:tcPr>
            <w:tcW w:w="5427"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ind w:firstLine="480"/>
              <w:jc w:val="center"/>
              <w:rPr>
                <w:rFonts w:ascii="仿宋" w:hAnsi="仿宋" w:eastAsia="仿宋" w:cs="仿宋"/>
                <w:sz w:val="24"/>
              </w:rPr>
            </w:pPr>
          </w:p>
        </w:tc>
        <w:tc>
          <w:tcPr>
            <w:tcW w:w="413"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jc w:val="both"/>
              <w:textAlignment w:val="auto"/>
              <w:rPr>
                <w:rFonts w:ascii="仿宋" w:hAnsi="仿宋" w:eastAsia="仿宋" w:cs="仿宋"/>
                <w:sz w:val="24"/>
              </w:rPr>
            </w:pPr>
            <w:r>
              <w:rPr>
                <w:rFonts w:hint="eastAsia" w:ascii="仿宋" w:hAnsi="仿宋" w:eastAsia="仿宋" w:cs="仿宋"/>
                <w:sz w:val="24"/>
              </w:rPr>
              <w:t>自然人</w:t>
            </w:r>
          </w:p>
        </w:tc>
        <w:tc>
          <w:tcPr>
            <w:tcW w:w="2280"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rPr>
              <w:t>法人或其他组织</w:t>
            </w:r>
          </w:p>
        </w:tc>
        <w:tc>
          <w:tcPr>
            <w:tcW w:w="379"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rPr>
              <w:t>总计</w:t>
            </w:r>
          </w:p>
        </w:tc>
      </w:tr>
      <w:tr>
        <w:tblPrEx>
          <w:tblCellMar>
            <w:top w:w="0" w:type="dxa"/>
            <w:left w:w="0" w:type="dxa"/>
            <w:bottom w:w="0" w:type="dxa"/>
            <w:right w:w="0" w:type="dxa"/>
          </w:tblCellMar>
        </w:tblPrEx>
        <w:trPr>
          <w:trHeight w:val="1598" w:hRule="atLeast"/>
          <w:jc w:val="center"/>
        </w:trPr>
        <w:tc>
          <w:tcPr>
            <w:tcW w:w="5427"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ind w:firstLine="480"/>
              <w:jc w:val="center"/>
              <w:rPr>
                <w:rFonts w:ascii="仿宋" w:hAnsi="仿宋" w:eastAsia="仿宋" w:cs="仿宋"/>
                <w:sz w:val="24"/>
              </w:rPr>
            </w:pPr>
          </w:p>
        </w:tc>
        <w:tc>
          <w:tcPr>
            <w:tcW w:w="413"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default" w:ascii="仿宋" w:hAnsi="仿宋" w:eastAsia="仿宋" w:cs="仿宋"/>
                <w:sz w:val="24"/>
                <w:lang w:val="en-US" w:eastAsia="zh-CN"/>
              </w:rPr>
            </w:pPr>
            <w:r>
              <w:rPr>
                <w:rFonts w:hint="eastAsia" w:ascii="仿宋" w:hAnsi="仿宋" w:eastAsia="仿宋" w:cs="仿宋"/>
                <w:sz w:val="24"/>
              </w:rPr>
              <w:t>商业</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ascii="仿宋" w:hAnsi="仿宋" w:eastAsia="仿宋" w:cs="仿宋"/>
                <w:sz w:val="24"/>
              </w:rPr>
            </w:pPr>
            <w:r>
              <w:rPr>
                <w:rFonts w:hint="eastAsia" w:ascii="仿宋" w:hAnsi="仿宋" w:eastAsia="仿宋" w:cs="仿宋"/>
                <w:sz w:val="24"/>
              </w:rPr>
              <w:t>企业</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ascii="仿宋" w:hAnsi="仿宋" w:eastAsia="仿宋" w:cs="仿宋"/>
                <w:sz w:val="24"/>
              </w:rPr>
            </w:pPr>
            <w:r>
              <w:rPr>
                <w:rFonts w:hint="eastAsia" w:ascii="仿宋" w:hAnsi="仿宋" w:eastAsia="仿宋" w:cs="仿宋"/>
                <w:sz w:val="24"/>
              </w:rPr>
              <w:t>科研</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ascii="仿宋" w:hAnsi="仿宋" w:eastAsia="仿宋" w:cs="仿宋"/>
                <w:sz w:val="24"/>
              </w:rPr>
            </w:pPr>
            <w:r>
              <w:rPr>
                <w:rFonts w:hint="eastAsia" w:ascii="仿宋" w:hAnsi="仿宋" w:eastAsia="仿宋" w:cs="仿宋"/>
                <w:sz w:val="24"/>
              </w:rPr>
              <w:t>机构</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ascii="仿宋" w:hAnsi="仿宋" w:eastAsia="仿宋" w:cs="仿宋"/>
                <w:sz w:val="24"/>
              </w:rPr>
            </w:pPr>
            <w:r>
              <w:rPr>
                <w:rFonts w:hint="eastAsia" w:ascii="仿宋" w:hAnsi="仿宋" w:eastAsia="仿宋" w:cs="仿宋"/>
                <w:sz w:val="24"/>
              </w:rPr>
              <w:t>社会公益组织</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ascii="仿宋" w:hAnsi="仿宋" w:eastAsia="仿宋" w:cs="仿宋"/>
                <w:sz w:val="24"/>
              </w:rPr>
            </w:pPr>
            <w:r>
              <w:rPr>
                <w:rFonts w:hint="eastAsia" w:ascii="仿宋" w:hAnsi="仿宋" w:eastAsia="仿宋" w:cs="仿宋"/>
                <w:sz w:val="24"/>
              </w:rPr>
              <w:t>法律服务机构</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ascii="仿宋" w:hAnsi="仿宋" w:eastAsia="仿宋" w:cs="仿宋"/>
                <w:sz w:val="24"/>
              </w:rPr>
            </w:pPr>
            <w:r>
              <w:rPr>
                <w:rFonts w:hint="eastAsia" w:ascii="仿宋" w:hAnsi="仿宋" w:eastAsia="仿宋" w:cs="仿宋"/>
                <w:sz w:val="24"/>
              </w:rPr>
              <w:t>其他</w:t>
            </w:r>
          </w:p>
        </w:tc>
        <w:tc>
          <w:tcPr>
            <w:tcW w:w="379"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ind w:firstLine="480"/>
              <w:jc w:val="center"/>
              <w:rPr>
                <w:rFonts w:ascii="仿宋" w:hAnsi="仿宋" w:eastAsia="仿宋" w:cs="仿宋"/>
                <w:sz w:val="24"/>
              </w:rPr>
            </w:pPr>
          </w:p>
        </w:tc>
      </w:tr>
      <w:tr>
        <w:tblPrEx>
          <w:tblCellMar>
            <w:top w:w="0" w:type="dxa"/>
            <w:left w:w="0" w:type="dxa"/>
            <w:bottom w:w="0" w:type="dxa"/>
            <w:right w:w="0" w:type="dxa"/>
          </w:tblCellMar>
        </w:tblPrEx>
        <w:trPr>
          <w:trHeight w:val="375" w:hRule="atLeast"/>
          <w:jc w:val="center"/>
        </w:trPr>
        <w:tc>
          <w:tcPr>
            <w:tcW w:w="5427"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both"/>
              <w:textAlignment w:val="auto"/>
              <w:rPr>
                <w:rFonts w:ascii="仿宋" w:hAnsi="仿宋" w:eastAsia="仿宋" w:cs="仿宋"/>
                <w:sz w:val="24"/>
              </w:rPr>
            </w:pPr>
            <w:r>
              <w:rPr>
                <w:rFonts w:hint="eastAsia" w:ascii="仿宋" w:hAnsi="仿宋" w:eastAsia="仿宋" w:cs="仿宋"/>
                <w:sz w:val="24"/>
              </w:rPr>
              <w:t>一、本年新收政府信息公开申请数量</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rPr>
            </w:pPr>
            <w:r>
              <w:rPr>
                <w:rFonts w:hint="eastAsia" w:ascii="仿宋" w:hAnsi="仿宋" w:eastAsia="仿宋" w:cs="仿宋"/>
                <w:sz w:val="24"/>
                <w:lang w:val="en-US" w:eastAsia="zh-CN"/>
              </w:rPr>
              <w:t>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rPr>
            </w:pPr>
            <w:r>
              <w:rPr>
                <w:rFonts w:hint="eastAsia" w:ascii="仿宋" w:hAnsi="仿宋" w:eastAsia="仿宋" w:cs="仿宋"/>
                <w:sz w:val="24"/>
                <w:lang w:val="en-US" w:eastAsia="zh-CN"/>
              </w:rPr>
              <w:t>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rPr>
            </w:pPr>
            <w:r>
              <w:rPr>
                <w:rFonts w:hint="eastAsia" w:ascii="仿宋" w:hAnsi="仿宋" w:eastAsia="仿宋" w:cs="仿宋"/>
                <w:sz w:val="24"/>
                <w:lang w:val="en-US" w:eastAsia="zh-CN"/>
              </w:rPr>
              <w:t>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rPr>
            </w:pPr>
            <w:r>
              <w:rPr>
                <w:rFonts w:hint="eastAsia" w:ascii="仿宋" w:hAnsi="仿宋" w:eastAsia="仿宋" w:cs="仿宋"/>
                <w:sz w:val="24"/>
                <w:lang w:val="en-US" w:eastAsia="zh-CN"/>
              </w:rPr>
              <w:t>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rPr>
            </w:pPr>
            <w:r>
              <w:rPr>
                <w:rFonts w:hint="eastAsia" w:ascii="仿宋" w:hAnsi="仿宋" w:eastAsia="仿宋" w:cs="仿宋"/>
                <w:sz w:val="24"/>
                <w:lang w:val="en-US" w:eastAsia="zh-CN"/>
              </w:rPr>
              <w:t>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 w:hAnsi="仿宋" w:eastAsia="仿宋" w:cs="仿宋"/>
                <w:sz w:val="24"/>
                <w:lang w:val="en-US" w:eastAsia="zh-CN"/>
              </w:rPr>
            </w:pPr>
            <w:r>
              <w:rPr>
                <w:rFonts w:hint="eastAsia" w:ascii="仿宋" w:hAnsi="仿宋" w:eastAsia="仿宋" w:cs="仿宋"/>
                <w:sz w:val="24"/>
                <w:lang w:val="en-US" w:eastAsia="zh-CN"/>
              </w:rPr>
              <w:t>0</w:t>
            </w:r>
          </w:p>
        </w:tc>
      </w:tr>
      <w:tr>
        <w:tblPrEx>
          <w:tblCellMar>
            <w:top w:w="0" w:type="dxa"/>
            <w:left w:w="0" w:type="dxa"/>
            <w:bottom w:w="0" w:type="dxa"/>
            <w:right w:w="0" w:type="dxa"/>
          </w:tblCellMar>
        </w:tblPrEx>
        <w:trPr>
          <w:trHeight w:val="90" w:hRule="atLeast"/>
          <w:jc w:val="center"/>
        </w:trPr>
        <w:tc>
          <w:tcPr>
            <w:tcW w:w="5427"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both"/>
              <w:textAlignment w:val="auto"/>
              <w:rPr>
                <w:rFonts w:ascii="仿宋" w:hAnsi="仿宋" w:eastAsia="仿宋" w:cs="仿宋"/>
                <w:sz w:val="24"/>
              </w:rPr>
            </w:pPr>
            <w:r>
              <w:rPr>
                <w:rFonts w:hint="eastAsia" w:ascii="仿宋" w:hAnsi="仿宋" w:eastAsia="仿宋" w:cs="仿宋"/>
                <w:sz w:val="24"/>
              </w:rPr>
              <w:t>二、上年结转政府信息公开申请数量</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 w:hAnsi="仿宋" w:eastAsia="仿宋" w:cs="仿宋"/>
                <w:sz w:val="24"/>
                <w:lang w:val="en-US" w:eastAsia="zh-CN"/>
              </w:rPr>
            </w:pPr>
            <w:r>
              <w:rPr>
                <w:rFonts w:hint="eastAsia" w:ascii="仿宋" w:hAnsi="仿宋" w:eastAsia="仿宋" w:cs="仿宋"/>
                <w:sz w:val="24"/>
                <w:lang w:val="en-US" w:eastAsia="zh-CN"/>
              </w:rPr>
              <w:t>0</w:t>
            </w:r>
          </w:p>
        </w:tc>
      </w:tr>
      <w:tr>
        <w:tblPrEx>
          <w:tblCellMar>
            <w:top w:w="0" w:type="dxa"/>
            <w:left w:w="0" w:type="dxa"/>
            <w:bottom w:w="0" w:type="dxa"/>
            <w:right w:w="0" w:type="dxa"/>
          </w:tblCellMar>
        </w:tblPrEx>
        <w:trPr>
          <w:trHeight w:val="543" w:hRule="atLeast"/>
          <w:jc w:val="center"/>
        </w:trPr>
        <w:tc>
          <w:tcPr>
            <w:tcW w:w="974"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rPr>
              <w:t>三、本年度办理结果</w:t>
            </w:r>
          </w:p>
        </w:tc>
        <w:tc>
          <w:tcPr>
            <w:tcW w:w="4453"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tabs>
                <w:tab w:val="left" w:pos="1470"/>
              </w:tabs>
              <w:kinsoku/>
              <w:wordWrap/>
              <w:overflowPunct/>
              <w:topLinePunct w:val="0"/>
              <w:autoSpaceDE/>
              <w:autoSpaceDN/>
              <w:bidi w:val="0"/>
              <w:adjustRightInd/>
              <w:snapToGrid/>
              <w:spacing w:line="440" w:lineRule="exact"/>
              <w:ind w:left="0" w:leftChars="0" w:firstLine="0" w:firstLineChars="0"/>
              <w:jc w:val="both"/>
              <w:textAlignment w:val="auto"/>
              <w:rPr>
                <w:rFonts w:ascii="仿宋" w:hAnsi="仿宋" w:eastAsia="仿宋" w:cs="仿宋"/>
                <w:sz w:val="24"/>
              </w:rPr>
            </w:pPr>
            <w:r>
              <w:rPr>
                <w:rFonts w:hint="eastAsia" w:ascii="仿宋" w:hAnsi="仿宋" w:eastAsia="仿宋" w:cs="仿宋"/>
                <w:sz w:val="24"/>
              </w:rPr>
              <w:t>（一）予以公开</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CellMar>
            <w:top w:w="0" w:type="dxa"/>
            <w:left w:w="0" w:type="dxa"/>
            <w:bottom w:w="0" w:type="dxa"/>
            <w:right w:w="0" w:type="dxa"/>
          </w:tblCellMar>
        </w:tblPrEx>
        <w:trPr>
          <w:trHeight w:val="915"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4453"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both"/>
              <w:textAlignment w:val="auto"/>
              <w:rPr>
                <w:rFonts w:ascii="仿宋" w:hAnsi="仿宋" w:eastAsia="仿宋" w:cs="仿宋"/>
                <w:sz w:val="24"/>
              </w:rPr>
            </w:pPr>
            <w:r>
              <w:rPr>
                <w:rFonts w:hint="eastAsia" w:ascii="仿宋" w:hAnsi="仿宋" w:eastAsia="仿宋" w:cs="仿宋"/>
                <w:sz w:val="24"/>
              </w:rPr>
              <w:t>（二）部分公开（区分处理的，只计这一情形，不计其他情形）</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CellMar>
            <w:top w:w="0" w:type="dxa"/>
            <w:left w:w="0" w:type="dxa"/>
            <w:bottom w:w="0" w:type="dxa"/>
            <w:right w:w="0" w:type="dxa"/>
          </w:tblCellMar>
        </w:tblPrEx>
        <w:trPr>
          <w:trHeight w:val="378"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1384"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rPr>
              <w:t>（三）不予公开</w:t>
            </w:r>
          </w:p>
        </w:tc>
        <w:tc>
          <w:tcPr>
            <w:tcW w:w="30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both"/>
              <w:textAlignment w:val="auto"/>
              <w:rPr>
                <w:rFonts w:ascii="仿宋" w:hAnsi="仿宋" w:eastAsia="仿宋" w:cs="仿宋"/>
                <w:sz w:val="24"/>
              </w:rPr>
            </w:pPr>
            <w:r>
              <w:rPr>
                <w:rFonts w:hint="eastAsia" w:ascii="仿宋" w:hAnsi="仿宋" w:eastAsia="仿宋" w:cs="仿宋"/>
                <w:sz w:val="24"/>
              </w:rPr>
              <w:t>1.属于国家秘密</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CellMar>
            <w:top w:w="0" w:type="dxa"/>
            <w:left w:w="0" w:type="dxa"/>
            <w:bottom w:w="0" w:type="dxa"/>
            <w:right w:w="0" w:type="dxa"/>
          </w:tblCellMar>
        </w:tblPrEx>
        <w:trPr>
          <w:trHeight w:val="413"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138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30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both"/>
              <w:textAlignment w:val="auto"/>
              <w:rPr>
                <w:rFonts w:ascii="仿宋" w:hAnsi="仿宋" w:eastAsia="仿宋" w:cs="仿宋"/>
                <w:sz w:val="24"/>
              </w:rPr>
            </w:pPr>
            <w:r>
              <w:rPr>
                <w:rFonts w:hint="eastAsia" w:ascii="仿宋" w:hAnsi="仿宋" w:eastAsia="仿宋" w:cs="仿宋"/>
                <w:spacing w:val="1"/>
                <w:w w:val="92"/>
                <w:kern w:val="0"/>
                <w:sz w:val="24"/>
                <w:fitText w:val="2880" w:id="766604212"/>
              </w:rPr>
              <w:t>2.其他法律行政法规禁止公开</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CellMar>
            <w:top w:w="0" w:type="dxa"/>
            <w:left w:w="0" w:type="dxa"/>
            <w:bottom w:w="0" w:type="dxa"/>
            <w:right w:w="0" w:type="dxa"/>
          </w:tblCellMar>
        </w:tblPrEx>
        <w:trPr>
          <w:trHeight w:val="403"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138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30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both"/>
              <w:textAlignment w:val="auto"/>
              <w:rPr>
                <w:rFonts w:ascii="仿宋" w:hAnsi="仿宋" w:eastAsia="仿宋" w:cs="仿宋"/>
                <w:sz w:val="24"/>
              </w:rPr>
            </w:pPr>
            <w:r>
              <w:rPr>
                <w:rFonts w:hint="eastAsia" w:ascii="仿宋" w:hAnsi="仿宋" w:eastAsia="仿宋" w:cs="仿宋"/>
                <w:sz w:val="24"/>
              </w:rPr>
              <w:t>3.危及“三安全一稳定”</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CellMar>
            <w:top w:w="0" w:type="dxa"/>
            <w:left w:w="0" w:type="dxa"/>
            <w:bottom w:w="0" w:type="dxa"/>
            <w:right w:w="0" w:type="dxa"/>
          </w:tblCellMar>
        </w:tblPrEx>
        <w:trPr>
          <w:trHeight w:val="390"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138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30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both"/>
              <w:textAlignment w:val="auto"/>
              <w:rPr>
                <w:rFonts w:ascii="仿宋" w:hAnsi="仿宋" w:eastAsia="仿宋" w:cs="仿宋"/>
                <w:sz w:val="24"/>
              </w:rPr>
            </w:pPr>
            <w:r>
              <w:rPr>
                <w:rFonts w:hint="eastAsia" w:ascii="仿宋" w:hAnsi="仿宋" w:eastAsia="仿宋" w:cs="仿宋"/>
                <w:sz w:val="24"/>
              </w:rPr>
              <w:t>4.保护第三方合法权益</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CellMar>
            <w:top w:w="0" w:type="dxa"/>
            <w:left w:w="0" w:type="dxa"/>
            <w:bottom w:w="0" w:type="dxa"/>
            <w:right w:w="0" w:type="dxa"/>
          </w:tblCellMar>
        </w:tblPrEx>
        <w:trPr>
          <w:trHeight w:val="416"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138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30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cPr>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both"/>
              <w:textAlignment w:val="auto"/>
              <w:rPr>
                <w:rFonts w:ascii="仿宋" w:hAnsi="仿宋" w:eastAsia="仿宋" w:cs="仿宋"/>
                <w:sz w:val="24"/>
              </w:rPr>
            </w:pPr>
            <w:r>
              <w:rPr>
                <w:rFonts w:hint="eastAsia" w:ascii="仿宋" w:hAnsi="仿宋" w:eastAsia="仿宋" w:cs="仿宋"/>
                <w:sz w:val="24"/>
              </w:rPr>
              <w:t>5.属于三类内部事务信息</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CellMar>
            <w:top w:w="0" w:type="dxa"/>
            <w:left w:w="0" w:type="dxa"/>
            <w:bottom w:w="0" w:type="dxa"/>
            <w:right w:w="0" w:type="dxa"/>
          </w:tblCellMar>
        </w:tblPrEx>
        <w:trPr>
          <w:trHeight w:val="440"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138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30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cPr>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both"/>
              <w:textAlignment w:val="auto"/>
              <w:rPr>
                <w:rFonts w:ascii="仿宋" w:hAnsi="仿宋" w:eastAsia="仿宋" w:cs="仿宋"/>
                <w:sz w:val="24"/>
              </w:rPr>
            </w:pPr>
            <w:r>
              <w:rPr>
                <w:rFonts w:hint="eastAsia" w:ascii="仿宋" w:hAnsi="仿宋" w:eastAsia="仿宋" w:cs="仿宋"/>
                <w:sz w:val="24"/>
              </w:rPr>
              <w:t>6.属于四类过程性信息</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CellMar>
            <w:top w:w="0" w:type="dxa"/>
            <w:left w:w="0" w:type="dxa"/>
            <w:bottom w:w="0" w:type="dxa"/>
            <w:right w:w="0" w:type="dxa"/>
          </w:tblCellMar>
        </w:tblPrEx>
        <w:trPr>
          <w:trHeight w:val="378"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138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30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cPr>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both"/>
              <w:textAlignment w:val="auto"/>
              <w:rPr>
                <w:rFonts w:ascii="仿宋" w:hAnsi="仿宋" w:eastAsia="仿宋" w:cs="仿宋"/>
                <w:sz w:val="24"/>
              </w:rPr>
            </w:pPr>
            <w:r>
              <w:rPr>
                <w:rFonts w:hint="eastAsia" w:ascii="仿宋" w:hAnsi="仿宋" w:eastAsia="仿宋" w:cs="仿宋"/>
                <w:sz w:val="24"/>
              </w:rPr>
              <w:t>7.属于行政执法案卷</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CellMar>
            <w:top w:w="0" w:type="dxa"/>
            <w:left w:w="0" w:type="dxa"/>
            <w:bottom w:w="0" w:type="dxa"/>
            <w:right w:w="0" w:type="dxa"/>
          </w:tblCellMar>
        </w:tblPrEx>
        <w:trPr>
          <w:trHeight w:val="278"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138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30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cPr>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both"/>
              <w:textAlignment w:val="auto"/>
              <w:rPr>
                <w:rFonts w:ascii="仿宋" w:hAnsi="仿宋" w:eastAsia="仿宋" w:cs="仿宋"/>
                <w:sz w:val="24"/>
              </w:rPr>
            </w:pPr>
            <w:r>
              <w:rPr>
                <w:rFonts w:hint="eastAsia" w:ascii="仿宋" w:hAnsi="仿宋" w:eastAsia="仿宋" w:cs="仿宋"/>
                <w:sz w:val="24"/>
              </w:rPr>
              <w:t>8.属于行政查询事项</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CellMar>
            <w:top w:w="0" w:type="dxa"/>
            <w:left w:w="0" w:type="dxa"/>
            <w:bottom w:w="0" w:type="dxa"/>
            <w:right w:w="0" w:type="dxa"/>
          </w:tblCellMar>
        </w:tblPrEx>
        <w:trPr>
          <w:trHeight w:val="340"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1384"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rPr>
              <w:t>（四）无法提供</w:t>
            </w:r>
          </w:p>
        </w:tc>
        <w:tc>
          <w:tcPr>
            <w:tcW w:w="30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ascii="仿宋" w:hAnsi="仿宋" w:eastAsia="仿宋" w:cs="仿宋"/>
                <w:sz w:val="24"/>
              </w:rPr>
            </w:pPr>
            <w:r>
              <w:rPr>
                <w:rFonts w:hint="eastAsia" w:ascii="仿宋" w:hAnsi="仿宋" w:eastAsia="仿宋" w:cs="仿宋"/>
                <w:w w:val="90"/>
                <w:sz w:val="24"/>
              </w:rPr>
              <w:t>1.本机关不掌握相关政府信息</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CellMar>
            <w:top w:w="0" w:type="dxa"/>
            <w:left w:w="0" w:type="dxa"/>
            <w:bottom w:w="0" w:type="dxa"/>
            <w:right w:w="0" w:type="dxa"/>
          </w:tblCellMar>
        </w:tblPrEx>
        <w:trPr>
          <w:trHeight w:val="317"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138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30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ascii="仿宋" w:hAnsi="仿宋" w:eastAsia="仿宋" w:cs="仿宋"/>
                <w:sz w:val="24"/>
              </w:rPr>
            </w:pPr>
            <w:r>
              <w:rPr>
                <w:rFonts w:hint="eastAsia" w:ascii="仿宋" w:hAnsi="仿宋" w:eastAsia="仿宋" w:cs="仿宋"/>
                <w:w w:val="90"/>
                <w:sz w:val="24"/>
              </w:rPr>
              <w:t>2.没有现成信息需要另行制作</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CellMar>
            <w:top w:w="0" w:type="dxa"/>
            <w:left w:w="0" w:type="dxa"/>
            <w:bottom w:w="0" w:type="dxa"/>
            <w:right w:w="0" w:type="dxa"/>
          </w:tblCellMar>
        </w:tblPrEx>
        <w:trPr>
          <w:trHeight w:val="341"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138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30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ascii="仿宋" w:hAnsi="仿宋" w:eastAsia="仿宋" w:cs="仿宋"/>
                <w:sz w:val="24"/>
              </w:rPr>
            </w:pPr>
            <w:r>
              <w:rPr>
                <w:rFonts w:hint="eastAsia" w:ascii="仿宋" w:hAnsi="仿宋" w:eastAsia="仿宋" w:cs="仿宋"/>
                <w:sz w:val="24"/>
              </w:rPr>
              <w:t>3.补正后申请内容仍不明确</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CellMar>
            <w:top w:w="0" w:type="dxa"/>
            <w:left w:w="0" w:type="dxa"/>
            <w:bottom w:w="0" w:type="dxa"/>
            <w:right w:w="0" w:type="dxa"/>
          </w:tblCellMar>
        </w:tblPrEx>
        <w:trPr>
          <w:trHeight w:val="405" w:hRule="atLeast"/>
          <w:jc w:val="center"/>
        </w:trPr>
        <w:tc>
          <w:tcPr>
            <w:tcW w:w="974" w:type="dxa"/>
            <w:vMerge w:val="restart"/>
            <w:tcBorders>
              <w:top w:val="single" w:color="auto" w:sz="6" w:space="0"/>
              <w:left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1384"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rPr>
              <w:t>（五）不予处理</w:t>
            </w:r>
          </w:p>
        </w:tc>
        <w:tc>
          <w:tcPr>
            <w:tcW w:w="30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both"/>
              <w:textAlignment w:val="auto"/>
              <w:rPr>
                <w:rFonts w:ascii="仿宋" w:hAnsi="仿宋" w:eastAsia="仿宋" w:cs="仿宋"/>
                <w:sz w:val="24"/>
              </w:rPr>
            </w:pPr>
            <w:r>
              <w:rPr>
                <w:rFonts w:hint="eastAsia" w:ascii="仿宋" w:hAnsi="仿宋" w:eastAsia="仿宋" w:cs="仿宋"/>
                <w:sz w:val="24"/>
              </w:rPr>
              <w:t>1.信访举报投诉类申请</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CellMar>
            <w:top w:w="0" w:type="dxa"/>
            <w:left w:w="0" w:type="dxa"/>
            <w:bottom w:w="0" w:type="dxa"/>
            <w:right w:w="0" w:type="dxa"/>
          </w:tblCellMar>
        </w:tblPrEx>
        <w:trPr>
          <w:trHeight w:val="366"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138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30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both"/>
              <w:textAlignment w:val="auto"/>
              <w:rPr>
                <w:rFonts w:ascii="仿宋" w:hAnsi="仿宋" w:eastAsia="仿宋" w:cs="仿宋"/>
                <w:sz w:val="24"/>
              </w:rPr>
            </w:pPr>
            <w:r>
              <w:rPr>
                <w:rFonts w:hint="eastAsia" w:ascii="仿宋" w:hAnsi="仿宋" w:eastAsia="仿宋" w:cs="仿宋"/>
                <w:sz w:val="24"/>
              </w:rPr>
              <w:t>2.重复申请</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CellMar>
            <w:top w:w="0" w:type="dxa"/>
            <w:left w:w="0" w:type="dxa"/>
            <w:bottom w:w="0" w:type="dxa"/>
            <w:right w:w="0" w:type="dxa"/>
          </w:tblCellMar>
        </w:tblPrEx>
        <w:trPr>
          <w:trHeight w:val="466"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138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30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both"/>
              <w:textAlignment w:val="auto"/>
              <w:rPr>
                <w:rFonts w:ascii="仿宋" w:hAnsi="仿宋" w:eastAsia="仿宋" w:cs="仿宋"/>
                <w:sz w:val="24"/>
              </w:rPr>
            </w:pPr>
            <w:r>
              <w:rPr>
                <w:rFonts w:hint="eastAsia" w:ascii="仿宋" w:hAnsi="仿宋" w:eastAsia="仿宋" w:cs="仿宋"/>
                <w:sz w:val="24"/>
              </w:rPr>
              <w:t>3.要求提供公开出版物</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CellMar>
            <w:top w:w="0" w:type="dxa"/>
            <w:left w:w="0" w:type="dxa"/>
            <w:bottom w:w="0" w:type="dxa"/>
            <w:right w:w="0" w:type="dxa"/>
          </w:tblCellMar>
        </w:tblPrEx>
        <w:trPr>
          <w:trHeight w:val="416"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138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30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both"/>
              <w:textAlignment w:val="auto"/>
              <w:rPr>
                <w:rFonts w:ascii="仿宋" w:hAnsi="仿宋" w:eastAsia="仿宋" w:cs="仿宋"/>
                <w:sz w:val="24"/>
              </w:rPr>
            </w:pPr>
            <w:r>
              <w:rPr>
                <w:rFonts w:hint="eastAsia" w:ascii="仿宋" w:hAnsi="仿宋" w:eastAsia="仿宋" w:cs="仿宋"/>
                <w:sz w:val="24"/>
              </w:rPr>
              <w:t>4.无正当理由大量反复申请</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CellMar>
            <w:top w:w="0" w:type="dxa"/>
            <w:left w:w="0" w:type="dxa"/>
            <w:bottom w:w="0" w:type="dxa"/>
            <w:right w:w="0" w:type="dxa"/>
          </w:tblCellMar>
        </w:tblPrEx>
        <w:trPr>
          <w:trHeight w:val="697"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138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30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both"/>
              <w:textAlignment w:val="auto"/>
              <w:rPr>
                <w:rFonts w:ascii="仿宋" w:hAnsi="仿宋" w:eastAsia="仿宋" w:cs="仿宋"/>
                <w:sz w:val="24"/>
              </w:rPr>
            </w:pPr>
            <w:r>
              <w:rPr>
                <w:rFonts w:hint="eastAsia" w:ascii="仿宋" w:hAnsi="仿宋" w:eastAsia="仿宋" w:cs="仿宋"/>
                <w:sz w:val="24"/>
              </w:rPr>
              <w:t>5.要求行政机关确认或重新出具已获取信息</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CellMar>
            <w:top w:w="0" w:type="dxa"/>
            <w:left w:w="0" w:type="dxa"/>
            <w:bottom w:w="0" w:type="dxa"/>
            <w:right w:w="0" w:type="dxa"/>
          </w:tblCellMar>
        </w:tblPrEx>
        <w:trPr>
          <w:trHeight w:val="1096"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1384"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rPr>
              <w:t>（六）其他处理</w:t>
            </w:r>
          </w:p>
        </w:tc>
        <w:tc>
          <w:tcPr>
            <w:tcW w:w="30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both"/>
              <w:textAlignment w:val="auto"/>
              <w:rPr>
                <w:rFonts w:ascii="仿宋" w:hAnsi="仿宋" w:eastAsia="仿宋" w:cs="仿宋"/>
                <w:sz w:val="24"/>
              </w:rPr>
            </w:pPr>
            <w:r>
              <w:rPr>
                <w:rFonts w:hint="eastAsia" w:ascii="仿宋" w:hAnsi="仿宋" w:eastAsia="仿宋" w:cs="仿宋"/>
                <w:sz w:val="24"/>
              </w:rPr>
              <w:t>1.申请人无正当理由逾期不补正、行政机关不再处理其政府信息公开申请</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CellMar>
            <w:top w:w="0" w:type="dxa"/>
            <w:left w:w="0" w:type="dxa"/>
            <w:bottom w:w="0" w:type="dxa"/>
            <w:right w:w="0" w:type="dxa"/>
          </w:tblCellMar>
        </w:tblPrEx>
        <w:trPr>
          <w:trHeight w:val="1271"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138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30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ascii="仿宋" w:hAnsi="仿宋" w:eastAsia="仿宋" w:cs="仿宋"/>
                <w:sz w:val="24"/>
              </w:rPr>
            </w:pPr>
            <w:r>
              <w:rPr>
                <w:rFonts w:hint="eastAsia" w:ascii="仿宋" w:hAnsi="仿宋" w:eastAsia="仿宋" w:cs="仿宋"/>
                <w:sz w:val="24"/>
              </w:rPr>
              <w:t>2.申请人逾期未按收费通知要求缴纳费用、行政机关不再处理其政府信息公开申请</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CellMar>
            <w:top w:w="0" w:type="dxa"/>
            <w:left w:w="0" w:type="dxa"/>
            <w:bottom w:w="0" w:type="dxa"/>
            <w:right w:w="0" w:type="dxa"/>
          </w:tblCellMar>
        </w:tblPrEx>
        <w:trPr>
          <w:trHeight w:val="353"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138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306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jc w:val="both"/>
              <w:textAlignment w:val="auto"/>
              <w:rPr>
                <w:rFonts w:ascii="仿宋" w:hAnsi="仿宋" w:eastAsia="仿宋" w:cs="仿宋"/>
                <w:sz w:val="24"/>
              </w:rPr>
            </w:pPr>
            <w:r>
              <w:rPr>
                <w:rFonts w:hint="eastAsia" w:ascii="仿宋" w:hAnsi="仿宋" w:eastAsia="仿宋" w:cs="仿宋"/>
                <w:sz w:val="24"/>
              </w:rPr>
              <w:t>3.其他</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CellMar>
            <w:top w:w="0" w:type="dxa"/>
            <w:left w:w="0" w:type="dxa"/>
            <w:bottom w:w="0" w:type="dxa"/>
            <w:right w:w="0" w:type="dxa"/>
          </w:tblCellMar>
        </w:tblPrEx>
        <w:trPr>
          <w:trHeight w:val="543" w:hRule="atLeast"/>
          <w:jc w:val="center"/>
        </w:trPr>
        <w:tc>
          <w:tcPr>
            <w:tcW w:w="974"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ind w:firstLine="480"/>
              <w:jc w:val="center"/>
              <w:rPr>
                <w:rFonts w:ascii="仿宋" w:hAnsi="仿宋" w:eastAsia="仿宋" w:cs="仿宋"/>
                <w:sz w:val="24"/>
              </w:rPr>
            </w:pPr>
          </w:p>
        </w:tc>
        <w:tc>
          <w:tcPr>
            <w:tcW w:w="4453"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both"/>
              <w:rPr>
                <w:rFonts w:ascii="仿宋" w:hAnsi="仿宋" w:eastAsia="仿宋" w:cs="仿宋"/>
                <w:sz w:val="24"/>
              </w:rPr>
            </w:pPr>
            <w:r>
              <w:rPr>
                <w:rFonts w:hint="eastAsia" w:ascii="仿宋" w:hAnsi="仿宋" w:eastAsia="仿宋" w:cs="仿宋"/>
                <w:sz w:val="24"/>
              </w:rPr>
              <w:t>（七）总计</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CellMar>
            <w:top w:w="0" w:type="dxa"/>
            <w:left w:w="0" w:type="dxa"/>
            <w:bottom w:w="0" w:type="dxa"/>
            <w:right w:w="0" w:type="dxa"/>
          </w:tblCellMar>
        </w:tblPrEx>
        <w:trPr>
          <w:trHeight w:val="558" w:hRule="atLeast"/>
          <w:jc w:val="center"/>
        </w:trPr>
        <w:tc>
          <w:tcPr>
            <w:tcW w:w="5427"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both"/>
              <w:rPr>
                <w:rFonts w:ascii="仿宋" w:hAnsi="仿宋" w:eastAsia="仿宋" w:cs="仿宋"/>
                <w:sz w:val="24"/>
              </w:rPr>
            </w:pPr>
            <w:r>
              <w:rPr>
                <w:rFonts w:hint="eastAsia" w:ascii="仿宋" w:hAnsi="仿宋" w:eastAsia="仿宋" w:cs="仿宋"/>
                <w:sz w:val="24"/>
              </w:rPr>
              <w:t>四、结转下年度继续办理</w:t>
            </w:r>
          </w:p>
        </w:tc>
        <w:tc>
          <w:tcPr>
            <w:tcW w:w="413"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6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46"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379"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r>
    </w:tbl>
    <w:p>
      <w:pPr>
        <w:pStyle w:val="5"/>
        <w:keepNext w:val="0"/>
        <w:keepLines w:val="0"/>
        <w:pageBreakBefore w:val="0"/>
        <w:widowControl/>
        <w:shd w:val="clear" w:color="auto" w:fill="FFFFFF"/>
        <w:kinsoku/>
        <w:wordWrap/>
        <w:overflowPunct/>
        <w:topLinePunct w:val="0"/>
        <w:autoSpaceDE/>
        <w:autoSpaceDN/>
        <w:bidi w:val="0"/>
        <w:spacing w:beforeAutospacing="0" w:afterAutospacing="0" w:line="580" w:lineRule="exact"/>
        <w:ind w:left="0" w:leftChars="0" w:firstLine="0" w:firstLineChars="0"/>
        <w:jc w:val="both"/>
        <w:textAlignment w:val="auto"/>
        <w:rPr>
          <w:rFonts w:hint="eastAsia" w:ascii="黑体" w:hAnsi="黑体" w:eastAsia="黑体" w:cs="黑体"/>
          <w:bCs/>
          <w:color w:val="000000" w:themeColor="text1"/>
          <w:sz w:val="32"/>
          <w:szCs w:val="32"/>
          <w:shd w:val="clear" w:color="auto" w:fill="FFFFFF"/>
          <w14:textFill>
            <w14:solidFill>
              <w14:schemeClr w14:val="tx1"/>
            </w14:solidFill>
          </w14:textFill>
        </w:rPr>
      </w:pPr>
    </w:p>
    <w:p>
      <w:pPr>
        <w:pStyle w:val="5"/>
        <w:keepNext w:val="0"/>
        <w:keepLines w:val="0"/>
        <w:pageBreakBefore w:val="0"/>
        <w:widowControl/>
        <w:shd w:val="clear" w:color="auto" w:fill="FFFFFF"/>
        <w:kinsoku/>
        <w:wordWrap/>
        <w:overflowPunct/>
        <w:topLinePunct w:val="0"/>
        <w:autoSpaceDE/>
        <w:autoSpaceDN/>
        <w:bidi w:val="0"/>
        <w:spacing w:beforeAutospacing="0" w:afterAutospacing="0" w:line="580" w:lineRule="exact"/>
        <w:ind w:firstLine="640"/>
        <w:jc w:val="both"/>
        <w:textAlignment w:val="auto"/>
        <w:rPr>
          <w:rFonts w:hint="eastAsia" w:ascii="黑体" w:hAnsi="黑体" w:eastAsia="黑体" w:cs="黑体"/>
          <w:bCs/>
          <w:color w:val="000000" w:themeColor="text1"/>
          <w:sz w:val="32"/>
          <w:szCs w:val="32"/>
          <w:shd w:val="clear" w:color="auto" w:fill="FFFFFF"/>
          <w14:textFill>
            <w14:solidFill>
              <w14:schemeClr w14:val="tx1"/>
            </w14:solidFill>
          </w14:textFill>
        </w:rPr>
      </w:pPr>
      <w:r>
        <w:rPr>
          <w:rFonts w:hint="eastAsia" w:ascii="黑体" w:hAnsi="黑体" w:eastAsia="黑体" w:cs="黑体"/>
          <w:bCs/>
          <w:color w:val="000000" w:themeColor="text1"/>
          <w:sz w:val="32"/>
          <w:szCs w:val="32"/>
          <w:shd w:val="clear" w:color="auto" w:fill="FFFFFF"/>
          <w14:textFill>
            <w14:solidFill>
              <w14:schemeClr w14:val="tx1"/>
            </w14:solidFill>
          </w14:textFill>
        </w:rPr>
        <w:t>四、政府信息公开行政复议、行政诉讼情况</w:t>
      </w:r>
    </w:p>
    <w:tbl>
      <w:tblPr>
        <w:tblStyle w:val="6"/>
        <w:tblW w:w="8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726"/>
        <w:gridCol w:w="854"/>
        <w:gridCol w:w="573"/>
        <w:gridCol w:w="414"/>
        <w:gridCol w:w="533"/>
        <w:gridCol w:w="665"/>
        <w:gridCol w:w="568"/>
        <w:gridCol w:w="647"/>
        <w:gridCol w:w="762"/>
        <w:gridCol w:w="464"/>
        <w:gridCol w:w="414"/>
        <w:gridCol w:w="498"/>
        <w:gridCol w:w="735"/>
        <w:gridCol w:w="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3305" w:type="dxa"/>
            <w:gridSpan w:val="5"/>
            <w:shd w:val="clear" w:color="auto" w:fill="auto"/>
            <w:vAlign w:val="center"/>
          </w:tcPr>
          <w:p>
            <w:pPr>
              <w:spacing w:line="540" w:lineRule="exact"/>
              <w:ind w:left="0" w:leftChars="0" w:firstLine="0" w:firstLineChars="0"/>
              <w:jc w:val="center"/>
              <w:rPr>
                <w:rFonts w:ascii="仿宋" w:hAnsi="仿宋" w:eastAsia="仿宋" w:cs="仿宋"/>
                <w:sz w:val="24"/>
              </w:rPr>
            </w:pPr>
            <w:r>
              <w:rPr>
                <w:rFonts w:hint="eastAsia" w:ascii="仿宋" w:hAnsi="仿宋" w:eastAsia="仿宋" w:cs="仿宋"/>
                <w:sz w:val="24"/>
              </w:rPr>
              <w:t>行政复议</w:t>
            </w:r>
          </w:p>
        </w:tc>
        <w:tc>
          <w:tcPr>
            <w:tcW w:w="5687" w:type="dxa"/>
            <w:gridSpan w:val="10"/>
            <w:shd w:val="clear" w:color="auto" w:fill="auto"/>
            <w:vAlign w:val="center"/>
          </w:tcPr>
          <w:p>
            <w:pPr>
              <w:spacing w:line="540" w:lineRule="exact"/>
              <w:ind w:left="0" w:leftChars="0" w:firstLine="0" w:firstLineChars="0"/>
              <w:jc w:val="center"/>
              <w:rPr>
                <w:rFonts w:ascii="仿宋" w:hAnsi="仿宋" w:eastAsia="仿宋" w:cs="仿宋"/>
                <w:sz w:val="24"/>
              </w:rPr>
            </w:pPr>
            <w:r>
              <w:rPr>
                <w:rFonts w:hint="eastAsia" w:ascii="仿宋" w:hAnsi="仿宋" w:eastAsia="仿宋" w:cs="仿宋"/>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738" w:type="dxa"/>
            <w:vMerge w:val="restart"/>
            <w:shd w:val="clear" w:color="auto" w:fill="auto"/>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rPr>
              <w:t>结果维持</w:t>
            </w:r>
          </w:p>
        </w:tc>
        <w:tc>
          <w:tcPr>
            <w:tcW w:w="726" w:type="dxa"/>
            <w:vMerge w:val="restart"/>
            <w:shd w:val="clear" w:color="auto" w:fill="auto"/>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rPr>
              <w:t>结果纠正</w:t>
            </w:r>
          </w:p>
        </w:tc>
        <w:tc>
          <w:tcPr>
            <w:tcW w:w="854" w:type="dxa"/>
            <w:vMerge w:val="restart"/>
            <w:shd w:val="clear" w:color="auto" w:fill="auto"/>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rPr>
              <w:t>其他结果</w:t>
            </w:r>
          </w:p>
        </w:tc>
        <w:tc>
          <w:tcPr>
            <w:tcW w:w="573" w:type="dxa"/>
            <w:vMerge w:val="restart"/>
            <w:shd w:val="clear" w:color="auto" w:fill="auto"/>
            <w:vAlign w:val="center"/>
          </w:tcPr>
          <w:p>
            <w:pPr>
              <w:spacing w:line="540" w:lineRule="exact"/>
              <w:ind w:firstLine="480"/>
              <w:jc w:val="center"/>
              <w:rPr>
                <w:rFonts w:ascii="仿宋" w:hAnsi="仿宋" w:eastAsia="仿宋" w:cs="仿宋"/>
                <w:sz w:val="24"/>
              </w:rPr>
            </w:pPr>
            <w:r>
              <w:rPr>
                <w:rFonts w:hint="eastAsia" w:ascii="仿宋" w:hAnsi="仿宋" w:eastAsia="仿宋" w:cs="仿宋"/>
                <w:sz w:val="24"/>
              </w:rPr>
              <w:t>尚未审结</w:t>
            </w:r>
          </w:p>
        </w:tc>
        <w:tc>
          <w:tcPr>
            <w:tcW w:w="414" w:type="dxa"/>
            <w:vMerge w:val="restart"/>
            <w:shd w:val="clear" w:color="auto" w:fill="auto"/>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rPr>
              <w:t>总计</w:t>
            </w:r>
          </w:p>
        </w:tc>
        <w:tc>
          <w:tcPr>
            <w:tcW w:w="3175" w:type="dxa"/>
            <w:gridSpan w:val="5"/>
            <w:shd w:val="clear" w:color="auto" w:fill="auto"/>
            <w:vAlign w:val="center"/>
          </w:tcPr>
          <w:p>
            <w:pPr>
              <w:spacing w:line="540" w:lineRule="exact"/>
              <w:ind w:left="0" w:leftChars="0" w:firstLine="0" w:firstLineChars="0"/>
              <w:jc w:val="center"/>
              <w:rPr>
                <w:rFonts w:ascii="仿宋" w:hAnsi="仿宋" w:eastAsia="仿宋" w:cs="仿宋"/>
                <w:sz w:val="24"/>
              </w:rPr>
            </w:pPr>
            <w:r>
              <w:rPr>
                <w:rFonts w:hint="eastAsia" w:ascii="仿宋" w:hAnsi="仿宋" w:eastAsia="仿宋" w:cs="仿宋"/>
                <w:color w:val="333333"/>
                <w:sz w:val="24"/>
                <w:shd w:val="clear" w:color="auto" w:fill="FFFFFF"/>
              </w:rPr>
              <w:t>未经复议直接起诉</w:t>
            </w:r>
          </w:p>
        </w:tc>
        <w:tc>
          <w:tcPr>
            <w:tcW w:w="2512" w:type="dxa"/>
            <w:gridSpan w:val="5"/>
            <w:shd w:val="clear" w:color="auto" w:fill="auto"/>
            <w:vAlign w:val="center"/>
          </w:tcPr>
          <w:p>
            <w:pPr>
              <w:spacing w:line="540" w:lineRule="exact"/>
              <w:ind w:left="0" w:leftChars="0" w:firstLine="0" w:firstLineChars="0"/>
              <w:jc w:val="center"/>
              <w:rPr>
                <w:rFonts w:hint="eastAsia" w:ascii="仿宋" w:hAnsi="仿宋" w:eastAsia="仿宋" w:cs="仿宋"/>
                <w:sz w:val="24"/>
              </w:rPr>
            </w:pPr>
            <w:r>
              <w:rPr>
                <w:rFonts w:hint="eastAsia" w:ascii="仿宋" w:hAnsi="仿宋" w:eastAsia="仿宋" w:cs="仿宋"/>
                <w:color w:val="333333"/>
                <w:sz w:val="24"/>
                <w:shd w:val="clear" w:color="auto" w:fill="FFFFFF"/>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trPr>
        <w:tc>
          <w:tcPr>
            <w:tcW w:w="738" w:type="dxa"/>
            <w:vMerge w:val="continue"/>
            <w:shd w:val="clear" w:color="auto" w:fill="auto"/>
            <w:vAlign w:val="center"/>
          </w:tcPr>
          <w:p>
            <w:pPr>
              <w:spacing w:line="540" w:lineRule="exact"/>
              <w:ind w:firstLine="480"/>
              <w:jc w:val="center"/>
              <w:rPr>
                <w:rFonts w:ascii="仿宋" w:hAnsi="仿宋" w:eastAsia="仿宋" w:cs="仿宋"/>
                <w:sz w:val="24"/>
              </w:rPr>
            </w:pPr>
          </w:p>
        </w:tc>
        <w:tc>
          <w:tcPr>
            <w:tcW w:w="726" w:type="dxa"/>
            <w:vMerge w:val="continue"/>
            <w:shd w:val="clear" w:color="auto" w:fill="auto"/>
            <w:vAlign w:val="center"/>
          </w:tcPr>
          <w:p>
            <w:pPr>
              <w:spacing w:line="540" w:lineRule="exact"/>
              <w:ind w:firstLine="480"/>
              <w:jc w:val="center"/>
              <w:rPr>
                <w:rFonts w:ascii="仿宋" w:hAnsi="仿宋" w:eastAsia="仿宋" w:cs="仿宋"/>
                <w:sz w:val="24"/>
              </w:rPr>
            </w:pPr>
          </w:p>
        </w:tc>
        <w:tc>
          <w:tcPr>
            <w:tcW w:w="854" w:type="dxa"/>
            <w:vMerge w:val="continue"/>
            <w:shd w:val="clear" w:color="auto" w:fill="auto"/>
            <w:vAlign w:val="center"/>
          </w:tcPr>
          <w:p>
            <w:pPr>
              <w:spacing w:line="540" w:lineRule="exact"/>
              <w:ind w:firstLine="480"/>
              <w:jc w:val="center"/>
              <w:rPr>
                <w:rFonts w:ascii="仿宋" w:hAnsi="仿宋" w:eastAsia="仿宋" w:cs="仿宋"/>
                <w:sz w:val="24"/>
              </w:rPr>
            </w:pPr>
          </w:p>
        </w:tc>
        <w:tc>
          <w:tcPr>
            <w:tcW w:w="573" w:type="dxa"/>
            <w:vMerge w:val="continue"/>
            <w:shd w:val="clear" w:color="auto" w:fill="auto"/>
            <w:vAlign w:val="center"/>
          </w:tcPr>
          <w:p>
            <w:pPr>
              <w:spacing w:line="540" w:lineRule="exact"/>
              <w:ind w:firstLine="480"/>
              <w:jc w:val="center"/>
              <w:rPr>
                <w:rFonts w:ascii="仿宋" w:hAnsi="仿宋" w:eastAsia="仿宋" w:cs="仿宋"/>
                <w:sz w:val="24"/>
              </w:rPr>
            </w:pPr>
          </w:p>
        </w:tc>
        <w:tc>
          <w:tcPr>
            <w:tcW w:w="414" w:type="dxa"/>
            <w:vMerge w:val="continue"/>
            <w:shd w:val="clear" w:color="auto" w:fill="auto"/>
            <w:vAlign w:val="center"/>
          </w:tcPr>
          <w:p>
            <w:pPr>
              <w:spacing w:line="540" w:lineRule="exact"/>
              <w:ind w:firstLine="480"/>
              <w:jc w:val="center"/>
              <w:rPr>
                <w:rFonts w:ascii="仿宋" w:hAnsi="仿宋" w:eastAsia="仿宋" w:cs="仿宋"/>
                <w:sz w:val="24"/>
              </w:rPr>
            </w:pPr>
          </w:p>
        </w:tc>
        <w:tc>
          <w:tcPr>
            <w:tcW w:w="533" w:type="dxa"/>
            <w:shd w:val="clear" w:color="auto" w:fill="auto"/>
            <w:vAlign w:val="center"/>
          </w:tcPr>
          <w:p>
            <w:pPr>
              <w:spacing w:line="540" w:lineRule="exact"/>
              <w:ind w:left="0" w:leftChars="0" w:firstLine="0" w:firstLineChars="0"/>
              <w:jc w:val="center"/>
              <w:rPr>
                <w:rFonts w:ascii="仿宋" w:hAnsi="仿宋" w:eastAsia="仿宋" w:cs="仿宋"/>
                <w:sz w:val="24"/>
              </w:rPr>
            </w:pPr>
            <w:r>
              <w:rPr>
                <w:rFonts w:hint="eastAsia" w:ascii="仿宋" w:hAnsi="仿宋" w:eastAsia="仿宋" w:cs="仿宋"/>
                <w:sz w:val="24"/>
              </w:rPr>
              <w:t>结果维持</w:t>
            </w:r>
          </w:p>
        </w:tc>
        <w:tc>
          <w:tcPr>
            <w:tcW w:w="665" w:type="dxa"/>
            <w:shd w:val="clear" w:color="auto" w:fill="auto"/>
            <w:vAlign w:val="center"/>
          </w:tcPr>
          <w:p>
            <w:pPr>
              <w:spacing w:line="540" w:lineRule="exact"/>
              <w:ind w:left="0" w:leftChars="0" w:firstLine="0" w:firstLineChars="0"/>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ind w:left="0" w:leftChars="0" w:firstLine="0" w:firstLineChars="0"/>
              <w:jc w:val="center"/>
              <w:rPr>
                <w:rFonts w:ascii="仿宋" w:hAnsi="仿宋" w:eastAsia="仿宋" w:cs="仿宋"/>
                <w:sz w:val="24"/>
              </w:rPr>
            </w:pPr>
            <w:r>
              <w:rPr>
                <w:rFonts w:hint="eastAsia" w:ascii="仿宋" w:hAnsi="仿宋" w:eastAsia="仿宋" w:cs="仿宋"/>
                <w:sz w:val="24"/>
              </w:rPr>
              <w:t>其他结果</w:t>
            </w:r>
          </w:p>
        </w:tc>
        <w:tc>
          <w:tcPr>
            <w:tcW w:w="647" w:type="dxa"/>
            <w:shd w:val="clear" w:color="auto" w:fill="auto"/>
            <w:vAlign w:val="center"/>
          </w:tcPr>
          <w:p>
            <w:pPr>
              <w:spacing w:line="540" w:lineRule="exact"/>
              <w:ind w:left="0" w:leftChars="0" w:firstLine="0" w:firstLineChars="0"/>
              <w:jc w:val="center"/>
              <w:rPr>
                <w:rFonts w:ascii="仿宋" w:hAnsi="仿宋" w:eastAsia="仿宋" w:cs="仿宋"/>
                <w:sz w:val="24"/>
              </w:rPr>
            </w:pPr>
            <w:r>
              <w:rPr>
                <w:rFonts w:hint="eastAsia" w:ascii="仿宋" w:hAnsi="仿宋" w:eastAsia="仿宋" w:cs="仿宋"/>
                <w:sz w:val="24"/>
              </w:rPr>
              <w:t>尚未审结</w:t>
            </w:r>
          </w:p>
        </w:tc>
        <w:tc>
          <w:tcPr>
            <w:tcW w:w="762" w:type="dxa"/>
            <w:shd w:val="clear" w:color="auto" w:fill="auto"/>
            <w:vAlign w:val="center"/>
          </w:tcPr>
          <w:p>
            <w:pPr>
              <w:spacing w:line="540" w:lineRule="exact"/>
              <w:ind w:left="0" w:leftChars="0" w:firstLine="0" w:firstLineChars="0"/>
              <w:jc w:val="center"/>
              <w:rPr>
                <w:rFonts w:ascii="仿宋" w:hAnsi="仿宋" w:eastAsia="仿宋" w:cs="仿宋"/>
                <w:sz w:val="24"/>
              </w:rPr>
            </w:pPr>
            <w:r>
              <w:rPr>
                <w:rFonts w:hint="eastAsia" w:ascii="仿宋" w:hAnsi="仿宋" w:eastAsia="仿宋" w:cs="仿宋"/>
                <w:sz w:val="24"/>
              </w:rPr>
              <w:t>总计</w:t>
            </w:r>
          </w:p>
        </w:tc>
        <w:tc>
          <w:tcPr>
            <w:tcW w:w="464" w:type="dxa"/>
            <w:shd w:val="clear" w:color="auto" w:fill="auto"/>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rPr>
              <w:t>结果维持</w:t>
            </w:r>
          </w:p>
        </w:tc>
        <w:tc>
          <w:tcPr>
            <w:tcW w:w="414" w:type="dxa"/>
            <w:shd w:val="clear" w:color="auto" w:fill="auto"/>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rPr>
              <w:t>结果纠正</w:t>
            </w:r>
          </w:p>
        </w:tc>
        <w:tc>
          <w:tcPr>
            <w:tcW w:w="498" w:type="dxa"/>
            <w:shd w:val="clear" w:color="auto" w:fill="auto"/>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rPr>
              <w:t>其他结果</w:t>
            </w:r>
          </w:p>
        </w:tc>
        <w:tc>
          <w:tcPr>
            <w:tcW w:w="735" w:type="dxa"/>
            <w:shd w:val="clear" w:color="auto" w:fill="auto"/>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rPr>
              <w:t>尚未审结</w:t>
            </w:r>
          </w:p>
        </w:tc>
        <w:tc>
          <w:tcPr>
            <w:tcW w:w="401" w:type="dxa"/>
            <w:shd w:val="clear" w:color="auto" w:fill="auto"/>
            <w:vAlign w:val="center"/>
          </w:tcPr>
          <w:p>
            <w:pPr>
              <w:spacing w:line="540" w:lineRule="exact"/>
              <w:ind w:left="0" w:leftChars="0" w:firstLine="0" w:firstLineChars="0"/>
              <w:jc w:val="both"/>
              <w:rPr>
                <w:rFonts w:ascii="仿宋" w:hAnsi="仿宋" w:eastAsia="仿宋" w:cs="仿宋"/>
                <w:sz w:val="24"/>
              </w:rPr>
            </w:pPr>
            <w:r>
              <w:rPr>
                <w:rFonts w:hint="eastAsia" w:ascii="仿宋" w:hAnsi="仿宋" w:eastAsia="仿宋" w:cs="仿宋"/>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85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7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3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6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1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9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0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r>
    </w:tbl>
    <w:p>
      <w:pPr>
        <w:pStyle w:val="5"/>
        <w:keepNext w:val="0"/>
        <w:keepLines w:val="0"/>
        <w:pageBreakBefore w:val="0"/>
        <w:widowControl/>
        <w:shd w:val="clear" w:color="auto" w:fill="FFFFFF"/>
        <w:kinsoku/>
        <w:wordWrap/>
        <w:overflowPunct/>
        <w:topLinePunct w:val="0"/>
        <w:autoSpaceDE/>
        <w:autoSpaceDN/>
        <w:bidi w:val="0"/>
        <w:spacing w:beforeAutospacing="0" w:afterAutospacing="0" w:line="580" w:lineRule="exact"/>
        <w:ind w:left="0" w:leftChars="0" w:firstLine="320" w:firstLineChars="100"/>
        <w:jc w:val="both"/>
        <w:textAlignment w:val="auto"/>
        <w:rPr>
          <w:rFonts w:hint="eastAsia" w:ascii="黑体" w:hAnsi="黑体" w:eastAsia="黑体" w:cs="黑体"/>
          <w:bCs/>
          <w:color w:val="000000" w:themeColor="text1"/>
          <w:sz w:val="32"/>
          <w:szCs w:val="32"/>
          <w:shd w:val="clear" w:color="auto" w:fill="FFFFFF"/>
          <w14:textFill>
            <w14:solidFill>
              <w14:schemeClr w14:val="tx1"/>
            </w14:solidFill>
          </w14:textFill>
        </w:rPr>
      </w:pPr>
      <w:bookmarkStart w:id="0" w:name="_GoBack"/>
      <w:bookmarkEnd w:id="0"/>
    </w:p>
    <w:p>
      <w:pPr>
        <w:pStyle w:val="5"/>
        <w:keepNext w:val="0"/>
        <w:keepLines w:val="0"/>
        <w:pageBreakBefore w:val="0"/>
        <w:widowControl/>
        <w:shd w:val="clear" w:color="auto" w:fill="FFFFFF"/>
        <w:kinsoku/>
        <w:wordWrap/>
        <w:overflowPunct/>
        <w:topLinePunct w:val="0"/>
        <w:autoSpaceDE/>
        <w:autoSpaceDN/>
        <w:bidi w:val="0"/>
        <w:spacing w:beforeAutospacing="0" w:afterAutospacing="0" w:line="580" w:lineRule="exact"/>
        <w:ind w:left="0" w:leftChars="0" w:firstLine="320" w:firstLineChars="100"/>
        <w:jc w:val="both"/>
        <w:textAlignment w:val="auto"/>
        <w:rPr>
          <w:rFonts w:hint="eastAsia" w:ascii="黑体" w:hAnsi="黑体" w:eastAsia="黑体" w:cs="黑体"/>
          <w:bCs/>
          <w:color w:val="000000" w:themeColor="text1"/>
          <w:sz w:val="32"/>
          <w:szCs w:val="32"/>
          <w:shd w:val="clear" w:color="auto" w:fill="FFFFFF"/>
          <w14:textFill>
            <w14:solidFill>
              <w14:schemeClr w14:val="tx1"/>
            </w14:solidFill>
          </w14:textFill>
        </w:rPr>
      </w:pPr>
      <w:r>
        <w:rPr>
          <w:rFonts w:hint="eastAsia" w:ascii="黑体" w:hAnsi="黑体" w:eastAsia="黑体" w:cs="黑体"/>
          <w:bCs/>
          <w:color w:val="000000" w:themeColor="text1"/>
          <w:sz w:val="32"/>
          <w:szCs w:val="32"/>
          <w:shd w:val="clear" w:color="auto" w:fill="FFFFFF"/>
          <w14:textFill>
            <w14:solidFill>
              <w14:schemeClr w14:val="tx1"/>
            </w14:solidFill>
          </w14:textFill>
        </w:rPr>
        <w:t>五、存在的主要问题及改进情况</w:t>
      </w:r>
    </w:p>
    <w:p>
      <w:pPr>
        <w:pStyle w:val="16"/>
        <w:keepNext w:val="0"/>
        <w:keepLines w:val="0"/>
        <w:pageBreakBefore w:val="0"/>
        <w:widowControl/>
        <w:shd w:val="clear" w:color="070000" w:fill="FFFFFF"/>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default" w:ascii="仿宋_GB2312" w:eastAsia="仿宋_GB2312"/>
          <w:color w:val="000000"/>
          <w:sz w:val="32"/>
          <w:szCs w:val="32"/>
          <w:shd w:val="clear" w:color="auto" w:fill="FFFFFF"/>
          <w:lang w:val="en-US" w:eastAsia="zh-CN"/>
        </w:rPr>
      </w:pPr>
      <w:r>
        <w:rPr>
          <w:rFonts w:hint="eastAsia" w:ascii="仿宋_GB2312" w:eastAsia="仿宋_GB2312"/>
          <w:color w:val="000000"/>
          <w:sz w:val="32"/>
          <w:szCs w:val="32"/>
          <w:shd w:val="clear" w:color="auto" w:fill="FFFFFF"/>
          <w:lang w:val="en-US" w:eastAsia="zh-CN"/>
        </w:rPr>
        <w:t>我单位</w:t>
      </w:r>
      <w:r>
        <w:rPr>
          <w:rFonts w:hint="eastAsia" w:ascii="仿宋_GB2312" w:eastAsia="仿宋_GB2312"/>
          <w:color w:val="000000"/>
          <w:sz w:val="32"/>
          <w:szCs w:val="32"/>
          <w:shd w:val="clear" w:color="auto" w:fill="FFFFFF"/>
        </w:rPr>
        <w:t>信息公开工作虽然取得了</w:t>
      </w:r>
      <w:r>
        <w:rPr>
          <w:rFonts w:hint="eastAsia" w:ascii="仿宋_GB2312" w:eastAsia="仿宋_GB2312"/>
          <w:color w:val="000000"/>
          <w:sz w:val="32"/>
          <w:szCs w:val="32"/>
          <w:shd w:val="clear" w:color="auto" w:fill="FFFFFF"/>
          <w:lang w:val="en-US" w:eastAsia="zh-CN"/>
        </w:rPr>
        <w:t>一定的成效</w:t>
      </w:r>
      <w:r>
        <w:rPr>
          <w:rFonts w:hint="eastAsia" w:ascii="仿宋_GB2312" w:eastAsia="仿宋_GB2312"/>
          <w:color w:val="000000"/>
          <w:sz w:val="32"/>
          <w:szCs w:val="32"/>
          <w:shd w:val="clear" w:color="auto" w:fill="FFFFFF"/>
        </w:rPr>
        <w:t>，但与社会对旅游品牌宣传推介</w:t>
      </w:r>
      <w:r>
        <w:rPr>
          <w:rFonts w:hint="eastAsia" w:ascii="仿宋_GB2312" w:eastAsia="仿宋_GB2312"/>
          <w:color w:val="000000"/>
          <w:sz w:val="32"/>
          <w:szCs w:val="32"/>
          <w:shd w:val="clear" w:color="auto" w:fill="FFFFFF"/>
          <w:lang w:eastAsia="zh-CN"/>
        </w:rPr>
        <w:t>、</w:t>
      </w:r>
      <w:r>
        <w:rPr>
          <w:rFonts w:hint="eastAsia" w:ascii="仿宋_GB2312" w:eastAsia="仿宋_GB2312"/>
          <w:color w:val="000000"/>
          <w:sz w:val="32"/>
          <w:szCs w:val="32"/>
          <w:shd w:val="clear" w:color="auto" w:fill="FFFFFF"/>
        </w:rPr>
        <w:t>旅游招商引资</w:t>
      </w:r>
      <w:r>
        <w:rPr>
          <w:rFonts w:hint="eastAsia" w:ascii="仿宋_GB2312" w:eastAsia="仿宋_GB2312"/>
          <w:color w:val="000000"/>
          <w:sz w:val="32"/>
          <w:szCs w:val="32"/>
          <w:shd w:val="clear" w:color="auto" w:fill="FFFFFF"/>
          <w:lang w:eastAsia="zh-CN"/>
        </w:rPr>
        <w:t>、</w:t>
      </w:r>
      <w:r>
        <w:rPr>
          <w:rFonts w:hint="eastAsia" w:ascii="仿宋_GB2312" w:eastAsia="仿宋_GB2312"/>
          <w:color w:val="000000"/>
          <w:sz w:val="32"/>
          <w:szCs w:val="32"/>
          <w:shd w:val="clear" w:color="auto" w:fill="FFFFFF"/>
        </w:rPr>
        <w:t>研学旅行</w:t>
      </w:r>
      <w:r>
        <w:rPr>
          <w:rFonts w:hint="eastAsia" w:ascii="仿宋_GB2312" w:eastAsia="仿宋_GB2312"/>
          <w:color w:val="000000"/>
          <w:sz w:val="32"/>
          <w:szCs w:val="32"/>
          <w:shd w:val="clear" w:color="auto" w:fill="FFFFFF"/>
          <w:lang w:eastAsia="zh-CN"/>
        </w:rPr>
        <w:t>等工作</w:t>
      </w:r>
      <w:r>
        <w:rPr>
          <w:rFonts w:hint="eastAsia" w:ascii="仿宋_GB2312" w:eastAsia="仿宋_GB2312"/>
          <w:color w:val="000000"/>
          <w:sz w:val="32"/>
          <w:szCs w:val="32"/>
          <w:shd w:val="clear" w:color="auto" w:fill="FFFFFF"/>
        </w:rPr>
        <w:t>的</w:t>
      </w:r>
      <w:r>
        <w:rPr>
          <w:rFonts w:hint="eastAsia" w:ascii="仿宋_GB2312" w:eastAsia="仿宋_GB2312"/>
          <w:color w:val="000000"/>
          <w:sz w:val="32"/>
          <w:szCs w:val="32"/>
          <w:shd w:val="clear" w:color="auto" w:fill="FFFFFF"/>
          <w:lang w:val="en-US" w:eastAsia="zh-CN"/>
        </w:rPr>
        <w:t>公开</w:t>
      </w:r>
      <w:r>
        <w:rPr>
          <w:rFonts w:hint="eastAsia" w:ascii="仿宋_GB2312" w:eastAsia="仿宋_GB2312"/>
          <w:color w:val="000000"/>
          <w:sz w:val="32"/>
          <w:szCs w:val="32"/>
          <w:shd w:val="clear" w:color="auto" w:fill="FFFFFF"/>
        </w:rPr>
        <w:t>需求还存差距。</w:t>
      </w:r>
      <w:r>
        <w:rPr>
          <w:rFonts w:hint="eastAsia" w:ascii="仿宋_GB2312" w:eastAsia="仿宋_GB2312"/>
          <w:color w:val="000000"/>
          <w:sz w:val="32"/>
          <w:szCs w:val="32"/>
          <w:shd w:val="clear" w:color="auto" w:fill="FFFFFF"/>
          <w:lang w:val="en-US" w:eastAsia="zh-CN"/>
        </w:rPr>
        <w:t>通过认真分析，</w:t>
      </w:r>
      <w:r>
        <w:rPr>
          <w:rFonts w:hint="eastAsia" w:ascii="仿宋_GB2312" w:eastAsia="仿宋_GB2312"/>
          <w:b/>
          <w:bCs/>
          <w:color w:val="000000"/>
          <w:sz w:val="32"/>
          <w:szCs w:val="32"/>
          <w:shd w:val="clear" w:color="auto" w:fill="FFFFFF"/>
        </w:rPr>
        <w:t>一是</w:t>
      </w:r>
      <w:r>
        <w:rPr>
          <w:rFonts w:hint="eastAsia" w:ascii="仿宋_GB2312" w:eastAsia="仿宋_GB2312"/>
          <w:color w:val="000000"/>
          <w:sz w:val="32"/>
          <w:szCs w:val="32"/>
          <w:shd w:val="clear" w:color="auto" w:fill="FFFFFF"/>
          <w:lang w:val="en-US" w:eastAsia="zh-CN"/>
        </w:rPr>
        <w:t>信息</w:t>
      </w:r>
      <w:r>
        <w:rPr>
          <w:rFonts w:hint="eastAsia" w:ascii="仿宋_GB2312" w:eastAsia="仿宋_GB2312"/>
          <w:color w:val="000000"/>
          <w:sz w:val="32"/>
          <w:szCs w:val="32"/>
          <w:shd w:val="clear" w:color="auto" w:fill="FFFFFF"/>
        </w:rPr>
        <w:t>更新存在不及时的情况</w:t>
      </w:r>
      <w:r>
        <w:rPr>
          <w:rFonts w:hint="eastAsia" w:ascii="仿宋_GB2312" w:eastAsia="仿宋_GB2312"/>
          <w:color w:val="000000"/>
          <w:sz w:val="32"/>
          <w:szCs w:val="32"/>
          <w:shd w:val="clear" w:color="auto" w:fill="FFFFFF"/>
          <w:lang w:eastAsia="zh-CN"/>
        </w:rPr>
        <w:t>，</w:t>
      </w:r>
      <w:r>
        <w:rPr>
          <w:rFonts w:hint="eastAsia" w:ascii="仿宋_GB2312" w:eastAsia="仿宋_GB2312"/>
          <w:b/>
          <w:bCs/>
          <w:color w:val="000000"/>
          <w:sz w:val="32"/>
          <w:szCs w:val="32"/>
          <w:shd w:val="clear" w:color="auto" w:fill="FFFFFF"/>
        </w:rPr>
        <w:t>二是</w:t>
      </w:r>
      <w:r>
        <w:rPr>
          <w:rFonts w:hint="eastAsia" w:ascii="仿宋_GB2312" w:eastAsia="仿宋_GB2312"/>
          <w:color w:val="000000"/>
          <w:sz w:val="32"/>
          <w:szCs w:val="32"/>
          <w:shd w:val="clear" w:color="auto" w:fill="FFFFFF"/>
        </w:rPr>
        <w:t>公开内容</w:t>
      </w:r>
      <w:r>
        <w:rPr>
          <w:rFonts w:hint="eastAsia" w:ascii="仿宋_GB2312" w:eastAsia="仿宋_GB2312"/>
          <w:color w:val="000000"/>
          <w:sz w:val="32"/>
          <w:szCs w:val="32"/>
          <w:shd w:val="clear" w:color="auto" w:fill="FFFFFF"/>
          <w:lang w:val="en-US" w:eastAsia="zh-CN"/>
        </w:rPr>
        <w:t>的类型及内容不够丰富，</w:t>
      </w:r>
      <w:r>
        <w:rPr>
          <w:rFonts w:hint="eastAsia" w:ascii="仿宋_GB2312" w:eastAsia="仿宋_GB2312"/>
          <w:b/>
          <w:bCs/>
          <w:color w:val="000000"/>
          <w:sz w:val="32"/>
          <w:szCs w:val="32"/>
          <w:shd w:val="clear" w:color="auto" w:fill="FFFFFF"/>
          <w:lang w:val="en-US" w:eastAsia="zh-CN"/>
        </w:rPr>
        <w:t>三</w:t>
      </w:r>
      <w:r>
        <w:rPr>
          <w:rFonts w:hint="eastAsia" w:ascii="仿宋_GB2312" w:eastAsia="仿宋_GB2312"/>
          <w:color w:val="000000"/>
          <w:sz w:val="32"/>
          <w:szCs w:val="32"/>
          <w:shd w:val="clear" w:color="auto" w:fill="FFFFFF"/>
          <w:lang w:val="en-US" w:eastAsia="zh-CN"/>
        </w:rPr>
        <w:t>是队伍建设薄弱，业务能力有待提高等问题。</w:t>
      </w:r>
    </w:p>
    <w:p>
      <w:pPr>
        <w:pStyle w:val="16"/>
        <w:keepNext w:val="0"/>
        <w:keepLines w:val="0"/>
        <w:pageBreakBefore w:val="0"/>
        <w:widowControl/>
        <w:shd w:val="clear" w:color="070000" w:fill="FFFFFF"/>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eastAsia" w:ascii="宋体" w:hAnsi="宋体" w:eastAsia="仿宋" w:cs="宋体"/>
          <w:b/>
          <w:color w:val="00B0F0"/>
          <w:sz w:val="32"/>
          <w:szCs w:val="32"/>
          <w:shd w:val="clear" w:color="auto" w:fill="FFFFFF"/>
          <w:lang w:eastAsia="zh-CN"/>
        </w:rPr>
      </w:pPr>
      <w:r>
        <w:rPr>
          <w:rFonts w:hint="eastAsia" w:ascii="仿宋_GB2312" w:eastAsia="仿宋_GB2312"/>
          <w:color w:val="000000"/>
          <w:sz w:val="32"/>
          <w:szCs w:val="32"/>
          <w:shd w:val="clear" w:color="auto" w:fill="FFFFFF"/>
          <w:lang w:val="en-US" w:eastAsia="zh-CN"/>
        </w:rPr>
        <w:t>针对上述问题，</w:t>
      </w:r>
      <w:r>
        <w:rPr>
          <w:rFonts w:hint="eastAsia" w:ascii="仿宋_GB2312" w:eastAsia="仿宋_GB2312"/>
          <w:color w:val="000000"/>
          <w:sz w:val="32"/>
          <w:szCs w:val="32"/>
          <w:shd w:val="clear" w:color="auto" w:fill="FFFFFF"/>
        </w:rPr>
        <w:t>在今后的工作中，我</w:t>
      </w:r>
      <w:r>
        <w:rPr>
          <w:rFonts w:hint="eastAsia" w:ascii="仿宋_GB2312" w:eastAsia="仿宋_GB2312"/>
          <w:color w:val="000000"/>
          <w:sz w:val="32"/>
          <w:szCs w:val="32"/>
          <w:shd w:val="clear" w:color="auto" w:fill="FFFFFF"/>
          <w:lang w:val="en-US" w:eastAsia="zh-CN"/>
        </w:rPr>
        <w:t>单位</w:t>
      </w:r>
      <w:r>
        <w:rPr>
          <w:rFonts w:hint="eastAsia" w:ascii="仿宋_GB2312" w:eastAsia="仿宋_GB2312"/>
          <w:color w:val="000000"/>
          <w:sz w:val="32"/>
          <w:szCs w:val="32"/>
          <w:shd w:val="clear" w:color="auto" w:fill="FFFFFF"/>
        </w:rPr>
        <w:t>将着重抓好以下工作：</w:t>
      </w:r>
      <w:r>
        <w:rPr>
          <w:rFonts w:hint="eastAsia" w:ascii="仿宋_GB2312" w:eastAsia="仿宋_GB2312"/>
          <w:b/>
          <w:bCs/>
          <w:color w:val="000000"/>
          <w:sz w:val="32"/>
          <w:szCs w:val="32"/>
          <w:shd w:val="clear" w:color="auto" w:fill="FFFFFF"/>
        </w:rPr>
        <w:t>一是完善信息公开内容。</w:t>
      </w:r>
      <w:r>
        <w:rPr>
          <w:rFonts w:hint="eastAsia" w:ascii="仿宋_GB2312" w:eastAsia="仿宋_GB2312"/>
          <w:color w:val="000000"/>
          <w:sz w:val="32"/>
          <w:szCs w:val="32"/>
          <w:shd w:val="clear" w:color="auto" w:fill="FFFFFF"/>
        </w:rPr>
        <w:t>把与群众关心的领域作为推进政府信息公开工作的重点，扩大公开范围，细化内容，提高更新速率。</w:t>
      </w:r>
      <w:r>
        <w:rPr>
          <w:rFonts w:hint="eastAsia" w:ascii="仿宋_GB2312" w:eastAsia="仿宋_GB2312"/>
          <w:b/>
          <w:bCs/>
          <w:color w:val="000000"/>
          <w:sz w:val="32"/>
          <w:szCs w:val="32"/>
          <w:shd w:val="clear" w:color="auto" w:fill="FFFFFF"/>
        </w:rPr>
        <w:t>二是强化信息公开工作管理。</w:t>
      </w:r>
      <w:r>
        <w:rPr>
          <w:rFonts w:hint="eastAsia" w:ascii="仿宋_GB2312" w:eastAsia="仿宋_GB2312"/>
          <w:color w:val="000000"/>
          <w:sz w:val="32"/>
          <w:szCs w:val="32"/>
          <w:shd w:val="clear" w:color="auto" w:fill="FFFFFF"/>
        </w:rPr>
        <w:t>进一步健全信息公开工作机制，明确职责，落实责任，规范开展政务公开工作，确保高标准高质量推进年度政务公开工作。</w:t>
      </w:r>
      <w:r>
        <w:rPr>
          <w:rFonts w:hint="eastAsia" w:ascii="仿宋_GB2312" w:eastAsia="仿宋_GB2312"/>
          <w:b/>
          <w:bCs/>
          <w:color w:val="000000"/>
          <w:sz w:val="32"/>
          <w:szCs w:val="32"/>
          <w:shd w:val="clear" w:color="auto" w:fill="FFFFFF"/>
        </w:rPr>
        <w:t>三是提升信息公开工作水平。</w:t>
      </w:r>
      <w:r>
        <w:rPr>
          <w:rFonts w:hint="eastAsia" w:ascii="仿宋_GB2312" w:eastAsia="仿宋_GB2312"/>
          <w:color w:val="000000"/>
          <w:sz w:val="32"/>
          <w:szCs w:val="32"/>
          <w:shd w:val="clear" w:color="auto" w:fill="FFFFFF"/>
        </w:rPr>
        <w:t>通过业务学习会、参加相关培训等形式，学习掌握信息公开工作的内容、程序等知识，为信息公开工作依规及时公开创造良好条件。</w:t>
      </w:r>
    </w:p>
    <w:p>
      <w:pPr>
        <w:pStyle w:val="5"/>
        <w:keepNext w:val="0"/>
        <w:keepLines w:val="0"/>
        <w:pageBreakBefore w:val="0"/>
        <w:widowControl/>
        <w:shd w:val="clear" w:color="auto" w:fill="FFFFFF"/>
        <w:kinsoku/>
        <w:wordWrap/>
        <w:overflowPunct/>
        <w:topLinePunct w:val="0"/>
        <w:autoSpaceDE/>
        <w:autoSpaceDN/>
        <w:bidi w:val="0"/>
        <w:spacing w:beforeAutospacing="0" w:afterAutospacing="0" w:line="580" w:lineRule="exact"/>
        <w:ind w:firstLine="640"/>
        <w:jc w:val="both"/>
        <w:textAlignment w:val="auto"/>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shd w:val="clear" w:color="auto" w:fill="FFFFFF"/>
          <w14:textFill>
            <w14:solidFill>
              <w14:schemeClr w14:val="tx1"/>
            </w14:solidFill>
          </w14:textFill>
        </w:rPr>
        <w:t>六、其他需要报告的事项</w:t>
      </w:r>
    </w:p>
    <w:p>
      <w:pPr>
        <w:pStyle w:val="16"/>
        <w:keepNext w:val="0"/>
        <w:keepLines w:val="0"/>
        <w:pageBreakBefore w:val="0"/>
        <w:widowControl/>
        <w:shd w:val="clear" w:color="070000" w:fill="FFFFFF"/>
        <w:kinsoku/>
        <w:wordWrap/>
        <w:overflowPunct/>
        <w:topLinePunct w:val="0"/>
        <w:autoSpaceDE/>
        <w:autoSpaceDN/>
        <w:bidi w:val="0"/>
        <w:adjustRightInd w:val="0"/>
        <w:snapToGrid w:val="0"/>
        <w:spacing w:beforeAutospacing="0" w:afterAutospacing="0" w:line="580" w:lineRule="exact"/>
        <w:ind w:firstLine="640" w:firstLineChars="200"/>
        <w:jc w:val="both"/>
        <w:textAlignment w:val="auto"/>
        <w:rPr>
          <w:rFonts w:hint="default" w:ascii="仿宋" w:hAnsi="仿宋" w:eastAsia="仿宋" w:cs="仿宋"/>
          <w:color w:val="FF0000"/>
          <w:sz w:val="32"/>
          <w:szCs w:val="32"/>
          <w:shd w:val="clear" w:color="auto" w:fill="FFFFFF"/>
          <w:lang w:val="en-US" w:eastAsia="zh-CN"/>
        </w:rPr>
      </w:pPr>
      <w:r>
        <w:rPr>
          <w:rFonts w:hint="eastAsia" w:ascii="仿宋_GB2312" w:eastAsia="仿宋_GB2312"/>
          <w:color w:val="000000"/>
          <w:sz w:val="32"/>
          <w:szCs w:val="32"/>
          <w:shd w:val="clear" w:color="auto" w:fill="FFFFFF"/>
        </w:rPr>
        <w:t>已在</w:t>
      </w:r>
      <w:r>
        <w:rPr>
          <w:rFonts w:hint="eastAsia" w:ascii="仿宋_GB2312" w:eastAsia="仿宋_GB2312"/>
          <w:color w:val="000000"/>
          <w:sz w:val="32"/>
          <w:szCs w:val="32"/>
          <w:shd w:val="clear" w:color="auto" w:fill="FFFFFF"/>
          <w:lang w:val="en-US" w:eastAsia="zh-CN"/>
        </w:rPr>
        <w:t>单位</w:t>
      </w:r>
      <w:r>
        <w:rPr>
          <w:rFonts w:hint="eastAsia" w:ascii="仿宋_GB2312" w:eastAsia="仿宋_GB2312"/>
          <w:color w:val="000000"/>
          <w:sz w:val="32"/>
          <w:szCs w:val="32"/>
          <w:shd w:val="clear" w:color="auto" w:fill="FFFFFF"/>
        </w:rPr>
        <w:t>信息公开指南中发布依申请公开收费标准，2022年</w:t>
      </w:r>
      <w:r>
        <w:rPr>
          <w:rFonts w:hint="eastAsia" w:ascii="仿宋_GB2312" w:eastAsia="仿宋_GB2312"/>
          <w:color w:val="000000"/>
          <w:sz w:val="32"/>
          <w:szCs w:val="32"/>
          <w:shd w:val="clear" w:color="auto" w:fill="FFFFFF"/>
          <w:lang w:val="en-US" w:eastAsia="zh-CN"/>
        </w:rPr>
        <w:t>我单位</w:t>
      </w:r>
      <w:r>
        <w:rPr>
          <w:rFonts w:hint="eastAsia" w:ascii="仿宋_GB2312" w:eastAsia="仿宋_GB2312"/>
          <w:color w:val="000000"/>
          <w:sz w:val="32"/>
          <w:szCs w:val="32"/>
          <w:shd w:val="clear" w:color="auto" w:fill="FFFFFF"/>
        </w:rPr>
        <w:t>无收取信息处理费情况。</w:t>
      </w:r>
    </w:p>
    <w:sectPr>
      <w:pgSz w:w="11906" w:h="16838"/>
      <w:pgMar w:top="2098" w:right="1474" w:bottom="181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kMzYxYTIyMGYzNzQ2ZGNhYTAzNWFkMmYyZGQzNTAifQ=="/>
  </w:docVars>
  <w:rsids>
    <w:rsidRoot w:val="002167C3"/>
    <w:rsid w:val="002167C3"/>
    <w:rsid w:val="00300DD2"/>
    <w:rsid w:val="00645E83"/>
    <w:rsid w:val="007C79F7"/>
    <w:rsid w:val="00874A4C"/>
    <w:rsid w:val="00C72EF2"/>
    <w:rsid w:val="00D053DB"/>
    <w:rsid w:val="00FE1280"/>
    <w:rsid w:val="072F4BA5"/>
    <w:rsid w:val="0BD0037E"/>
    <w:rsid w:val="0F42566A"/>
    <w:rsid w:val="0FE32618"/>
    <w:rsid w:val="13CC3B21"/>
    <w:rsid w:val="17534F7D"/>
    <w:rsid w:val="1A62014B"/>
    <w:rsid w:val="1B931963"/>
    <w:rsid w:val="224B441C"/>
    <w:rsid w:val="22923CA7"/>
    <w:rsid w:val="22E26EC9"/>
    <w:rsid w:val="23B06487"/>
    <w:rsid w:val="2480713E"/>
    <w:rsid w:val="24B76319"/>
    <w:rsid w:val="27FD2EF5"/>
    <w:rsid w:val="2988332B"/>
    <w:rsid w:val="2B1A10CF"/>
    <w:rsid w:val="424C7E6D"/>
    <w:rsid w:val="44225590"/>
    <w:rsid w:val="4A3577E4"/>
    <w:rsid w:val="4D995A47"/>
    <w:rsid w:val="4E1777FC"/>
    <w:rsid w:val="519D4381"/>
    <w:rsid w:val="566E50F8"/>
    <w:rsid w:val="56857A37"/>
    <w:rsid w:val="59B117DF"/>
    <w:rsid w:val="5A131B0B"/>
    <w:rsid w:val="5ABA5A4E"/>
    <w:rsid w:val="5B7235AA"/>
    <w:rsid w:val="5BA359BF"/>
    <w:rsid w:val="5FCE6A83"/>
    <w:rsid w:val="5FEB66AA"/>
    <w:rsid w:val="62BC2293"/>
    <w:rsid w:val="641A130C"/>
    <w:rsid w:val="6EB526D3"/>
    <w:rsid w:val="6EC41F3F"/>
    <w:rsid w:val="73F57932"/>
    <w:rsid w:val="74450F75"/>
    <w:rsid w:val="74B03CF2"/>
    <w:rsid w:val="74FF707E"/>
    <w:rsid w:val="77707769"/>
    <w:rsid w:val="7B03617C"/>
    <w:rsid w:val="7B440FF1"/>
    <w:rsid w:val="7D7C7DE7"/>
    <w:rsid w:val="7E851D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qFormat/>
    <w:uiPriority w:val="0"/>
    <w:rPr>
      <w:sz w:val="18"/>
      <w:szCs w:val="18"/>
    </w:r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FollowedHyperlink"/>
    <w:basedOn w:val="7"/>
    <w:uiPriority w:val="0"/>
    <w:rPr>
      <w:color w:val="333333"/>
      <w:u w:val="none"/>
    </w:rPr>
  </w:style>
  <w:style w:type="character" w:styleId="9">
    <w:name w:val="Hyperlink"/>
    <w:basedOn w:val="7"/>
    <w:qFormat/>
    <w:uiPriority w:val="0"/>
    <w:rPr>
      <w:color w:val="333333"/>
      <w:u w:val="none"/>
    </w:rPr>
  </w:style>
  <w:style w:type="character" w:customStyle="1" w:styleId="10">
    <w:name w:val="hover14"/>
    <w:basedOn w:val="7"/>
    <w:qFormat/>
    <w:uiPriority w:val="0"/>
    <w:rPr>
      <w:shd w:val="clear" w:color="auto" w:fill="929292"/>
    </w:rPr>
  </w:style>
  <w:style w:type="character" w:customStyle="1" w:styleId="11">
    <w:name w:val="article-icon"/>
    <w:basedOn w:val="7"/>
    <w:qFormat/>
    <w:uiPriority w:val="0"/>
  </w:style>
  <w:style w:type="character" w:customStyle="1" w:styleId="12">
    <w:name w:val="页眉 Char"/>
    <w:basedOn w:val="7"/>
    <w:link w:val="4"/>
    <w:uiPriority w:val="0"/>
    <w:rPr>
      <w:rFonts w:asciiTheme="minorHAnsi" w:hAnsiTheme="minorHAnsi" w:eastAsiaTheme="minorEastAsia" w:cstheme="minorBidi"/>
      <w:kern w:val="2"/>
      <w:sz w:val="18"/>
      <w:szCs w:val="18"/>
    </w:rPr>
  </w:style>
  <w:style w:type="character" w:customStyle="1" w:styleId="13">
    <w:name w:val="页脚 Char"/>
    <w:basedOn w:val="7"/>
    <w:link w:val="3"/>
    <w:qFormat/>
    <w:uiPriority w:val="0"/>
    <w:rPr>
      <w:rFonts w:asciiTheme="minorHAnsi" w:hAnsiTheme="minorHAnsi" w:eastAsiaTheme="minorEastAsia" w:cstheme="minorBidi"/>
      <w:kern w:val="2"/>
      <w:sz w:val="18"/>
      <w:szCs w:val="18"/>
    </w:rPr>
  </w:style>
  <w:style w:type="character" w:customStyle="1" w:styleId="14">
    <w:name w:val="批注框文本 Char"/>
    <w:basedOn w:val="7"/>
    <w:link w:val="2"/>
    <w:qFormat/>
    <w:uiPriority w:val="0"/>
    <w:rPr>
      <w:rFonts w:asciiTheme="minorHAnsi" w:hAnsiTheme="minorHAnsi" w:eastAsiaTheme="minorEastAsia" w:cstheme="minorBidi"/>
      <w:kern w:val="2"/>
      <w:sz w:val="18"/>
      <w:szCs w:val="18"/>
    </w:rPr>
  </w:style>
  <w:style w:type="paragraph" w:customStyle="1" w:styleId="15">
    <w:name w:val="p"/>
    <w:basedOn w:val="1"/>
    <w:uiPriority w:val="0"/>
    <w:pPr>
      <w:widowControl/>
      <w:spacing w:before="100" w:beforeAutospacing="1" w:after="100" w:afterAutospacing="1"/>
      <w:jc w:val="left"/>
    </w:pPr>
    <w:rPr>
      <w:rFonts w:ascii="宋体" w:hAnsi="宋体" w:eastAsia="宋体" w:cs="宋体"/>
      <w:kern w:val="0"/>
      <w:sz w:val="24"/>
    </w:rPr>
  </w:style>
  <w:style w:type="paragraph" w:customStyle="1" w:styleId="16">
    <w:name w:val="Normal (Web)1"/>
    <w:basedOn w:val="1"/>
    <w:uiPriority w:val="0"/>
    <w:pPr>
      <w:spacing w:beforeAutospacing="1" w:afterAutospacing="1"/>
      <w:jc w:val="left"/>
    </w:pPr>
    <w:rPr>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2966</Words>
  <Characters>3066</Characters>
  <Lines>4</Lines>
  <Paragraphs>6</Paragraphs>
  <TotalTime>11</TotalTime>
  <ScaleCrop>false</ScaleCrop>
  <LinksUpToDate>false</LinksUpToDate>
  <CharactersWithSpaces>3066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项桂华</cp:lastModifiedBy>
  <dcterms:modified xsi:type="dcterms:W3CDTF">2023-01-11T09:06:44Z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C16F219F5EDD4DC3A20F91D273028840</vt:lpwstr>
  </property>
</Properties>
</file>