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ind w:firstLine="640"/>
        <w:jc w:val="center"/>
        <w:rPr>
          <w:rFonts w:ascii="宋体" w:hAnsi="宋体" w:eastAsia="宋体" w:cs="宋体"/>
          <w:color w:val="333333"/>
          <w:sz w:val="44"/>
          <w:szCs w:val="44"/>
        </w:rPr>
      </w:pPr>
      <w:r>
        <w:rPr>
          <w:rFonts w:hint="eastAsia" w:ascii="宋体" w:hAnsi="宋体" w:eastAsia="宋体" w:cs="宋体"/>
          <w:b/>
          <w:color w:val="333333"/>
          <w:sz w:val="44"/>
          <w:szCs w:val="44"/>
          <w:shd w:val="clear" w:color="auto" w:fill="FFFFFF"/>
          <w:lang w:val="en-US" w:eastAsia="zh-CN"/>
        </w:rPr>
        <w:t>婺源县工业和信息化局</w:t>
      </w:r>
      <w:r>
        <w:rPr>
          <w:rFonts w:hint="eastAsia" w:ascii="宋体" w:hAnsi="宋体" w:eastAsia="宋体" w:cs="宋体"/>
          <w:b/>
          <w:color w:val="333333"/>
          <w:sz w:val="44"/>
          <w:szCs w:val="44"/>
          <w:shd w:val="clear" w:color="auto" w:fill="FFFFFF"/>
        </w:rPr>
        <w:t>2022年政府信息公开工作年度报告</w:t>
      </w:r>
    </w:p>
    <w:p>
      <w:pPr>
        <w:pStyle w:val="5"/>
        <w:widowControl/>
        <w:shd w:val="clear" w:color="auto" w:fill="FFFFFF"/>
        <w:spacing w:beforeAutospacing="0" w:afterAutospacing="0"/>
        <w:ind w:firstLine="640"/>
        <w:jc w:val="both"/>
        <w:rPr>
          <w:rFonts w:ascii="宋体" w:hAnsi="宋体" w:eastAsia="宋体" w:cs="宋体"/>
          <w:color w:val="333333"/>
          <w:sz w:val="32"/>
          <w:szCs w:val="32"/>
        </w:rPr>
      </w:pPr>
    </w:p>
    <w:p>
      <w:pPr>
        <w:pStyle w:val="5"/>
        <w:widowControl/>
        <w:shd w:val="clear" w:color="auto" w:fill="FFFFFF"/>
        <w:spacing w:beforeAutospacing="0" w:afterAutospacing="0"/>
        <w:ind w:firstLine="640"/>
        <w:jc w:val="both"/>
        <w:rPr>
          <w:rFonts w:ascii="仿宋" w:hAnsi="仿宋" w:eastAsia="仿宋" w:cs="仿宋"/>
          <w:color w:val="333333"/>
          <w:sz w:val="32"/>
          <w:szCs w:val="32"/>
        </w:rPr>
      </w:pPr>
      <w:r>
        <w:rPr>
          <w:rFonts w:hint="eastAsia" w:ascii="仿宋" w:hAnsi="仿宋" w:eastAsia="仿宋" w:cs="仿宋"/>
          <w:color w:val="333333"/>
          <w:sz w:val="32"/>
          <w:szCs w:val="32"/>
        </w:rPr>
        <w:t>本报告依据《中华人民共和国政府信息公开条例》（国务院令第711号，以下简称新《条例》）和《国务院办公厅政府信息与政务公开办公室关于印发&lt;中华人民共和国政府信息公开工作年度报告格式&gt;的通知》（国办公开办函〔2021〕30号）要求，由</w:t>
      </w:r>
      <w:r>
        <w:rPr>
          <w:rFonts w:hint="eastAsia" w:ascii="仿宋" w:hAnsi="仿宋" w:eastAsia="仿宋" w:cs="仿宋"/>
          <w:color w:val="333333"/>
          <w:sz w:val="32"/>
          <w:szCs w:val="32"/>
          <w:lang w:val="en-US" w:eastAsia="zh-CN"/>
        </w:rPr>
        <w:t>婺源县工业和信息化局</w:t>
      </w:r>
      <w:r>
        <w:rPr>
          <w:rFonts w:hint="eastAsia" w:ascii="仿宋" w:hAnsi="仿宋" w:eastAsia="仿宋" w:cs="仿宋"/>
          <w:color w:val="333333"/>
          <w:sz w:val="32"/>
          <w:szCs w:val="32"/>
        </w:rPr>
        <w:t>结合有关统计数据编制。本年度报告中所列数据的统计期限自2022年1月1日起至2022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婺源县人民政府网站（www.jxwy.gov.cn）下载。如对本报告有任何疑问，请与</w:t>
      </w:r>
      <w:r>
        <w:rPr>
          <w:rFonts w:hint="eastAsia" w:ascii="仿宋" w:hAnsi="仿宋" w:eastAsia="仿宋" w:cs="仿宋"/>
          <w:color w:val="333333"/>
          <w:sz w:val="32"/>
          <w:szCs w:val="32"/>
          <w:lang w:val="en-US" w:eastAsia="zh-CN"/>
        </w:rPr>
        <w:t>婺源县工信局</w:t>
      </w:r>
      <w:r>
        <w:rPr>
          <w:rFonts w:hint="eastAsia" w:ascii="仿宋" w:hAnsi="仿宋" w:eastAsia="仿宋" w:cs="仿宋"/>
          <w:color w:val="333333"/>
          <w:sz w:val="32"/>
          <w:szCs w:val="32"/>
        </w:rPr>
        <w:t>联系（地址：婺源县政府2楼，电话：0793</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7351162，邮编：</w:t>
      </w:r>
      <w:r>
        <w:rPr>
          <w:rFonts w:hint="eastAsia" w:ascii="仿宋" w:hAnsi="仿宋" w:eastAsia="仿宋" w:cs="仿宋"/>
          <w:color w:val="333333"/>
          <w:sz w:val="32"/>
          <w:szCs w:val="32"/>
          <w:lang w:val="en-US" w:eastAsia="zh-CN"/>
        </w:rPr>
        <w:t>333200</w:t>
      </w:r>
      <w:r>
        <w:rPr>
          <w:rFonts w:hint="eastAsia" w:ascii="仿宋" w:hAnsi="仿宋" w:eastAsia="仿宋" w:cs="仿宋"/>
          <w:color w:val="333333"/>
          <w:sz w:val="32"/>
          <w:szCs w:val="32"/>
        </w:rPr>
        <w:t>）。</w:t>
      </w:r>
    </w:p>
    <w:p>
      <w:pPr>
        <w:pStyle w:val="5"/>
        <w:widowControl/>
        <w:shd w:val="clear" w:color="auto" w:fill="FFFFFF"/>
        <w:spacing w:beforeAutospacing="0" w:afterAutospacing="0"/>
        <w:ind w:firstLine="640"/>
        <w:jc w:val="both"/>
        <w:rPr>
          <w:rFonts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一、总体情况</w:t>
      </w:r>
    </w:p>
    <w:p>
      <w:pPr>
        <w:pStyle w:val="5"/>
        <w:widowControl/>
        <w:shd w:val="clear" w:color="auto" w:fill="FFFFFF"/>
        <w:spacing w:beforeAutospacing="0" w:afterAutospacing="0" w:line="11" w:lineRule="atLeast"/>
        <w:ind w:firstLine="0" w:firstLineChars="0"/>
        <w:jc w:val="both"/>
        <w:rPr>
          <w:rFonts w:ascii="仿宋" w:hAnsi="仿宋" w:eastAsia="仿宋" w:cs="仿宋"/>
          <w:color w:val="333333"/>
          <w:sz w:val="32"/>
          <w:szCs w:val="32"/>
        </w:rPr>
      </w:pPr>
      <w:r>
        <w:rPr>
          <w:rFonts w:hint="eastAsia" w:ascii="仿宋" w:hAnsi="仿宋" w:eastAsia="仿宋" w:cs="仿宋"/>
          <w:color w:val="333333"/>
          <w:sz w:val="32"/>
          <w:szCs w:val="32"/>
        </w:rPr>
        <w:t>2022年</w:t>
      </w:r>
      <w:r>
        <w:rPr>
          <w:rFonts w:hint="eastAsia" w:ascii="仿宋" w:hAnsi="仿宋" w:eastAsia="仿宋" w:cs="仿宋"/>
          <w:color w:val="333333"/>
          <w:sz w:val="32"/>
          <w:szCs w:val="32"/>
          <w:lang w:val="en-US" w:eastAsia="zh-CN"/>
        </w:rPr>
        <w:t>婺源县工信局</w:t>
      </w:r>
      <w:r>
        <w:rPr>
          <w:rFonts w:hint="eastAsia" w:ascii="仿宋" w:hAnsi="仿宋" w:eastAsia="仿宋" w:cs="仿宋"/>
          <w:color w:val="333333"/>
          <w:sz w:val="32"/>
          <w:szCs w:val="32"/>
        </w:rPr>
        <w:t>坚持以习近平新时代中国特色社会主义思想为指导，深入贯彻党的二十大精神，严格落实《条例》和《国务院办公厅关于印发2022年政务公开工作要点的通知》（国办发〔2022〕8号）的要求。同时积极对《江西省人民政府办公厅关于印发2022年江西省政务公开工作要点的通知》（赣府厅字〔2022〕45号）明确目标任务。紧紧围绕县委、县政府中心工作及社会群众关注关切，加强政策发布的力度和时效，持续提升公开质量和治理效能，取得积极成效。</w:t>
      </w:r>
      <w:r>
        <w:rPr>
          <w:rFonts w:ascii="仿宋" w:hAnsi="仿宋" w:eastAsia="仿宋" w:cs="仿宋"/>
          <w:color w:val="333333"/>
          <w:sz w:val="32"/>
          <w:szCs w:val="32"/>
        </w:rPr>
        <w:t>2022年在</w:t>
      </w:r>
      <w:r>
        <w:rPr>
          <w:rFonts w:hint="eastAsia" w:ascii="仿宋" w:hAnsi="仿宋" w:eastAsia="仿宋" w:cs="仿宋"/>
          <w:color w:val="333333"/>
          <w:sz w:val="32"/>
          <w:szCs w:val="32"/>
        </w:rPr>
        <w:t>婺源</w:t>
      </w:r>
      <w:r>
        <w:rPr>
          <w:rFonts w:ascii="仿宋" w:hAnsi="仿宋" w:eastAsia="仿宋" w:cs="仿宋"/>
          <w:color w:val="333333"/>
          <w:sz w:val="32"/>
          <w:szCs w:val="32"/>
        </w:rPr>
        <w:t>县</w:t>
      </w:r>
      <w:r>
        <w:rPr>
          <w:rFonts w:hint="eastAsia" w:ascii="仿宋" w:hAnsi="仿宋" w:eastAsia="仿宋" w:cs="仿宋"/>
          <w:color w:val="333333"/>
          <w:sz w:val="32"/>
          <w:szCs w:val="32"/>
        </w:rPr>
        <w:t>人民</w:t>
      </w:r>
      <w:r>
        <w:rPr>
          <w:rFonts w:ascii="仿宋" w:hAnsi="仿宋" w:eastAsia="仿宋" w:cs="仿宋"/>
          <w:color w:val="333333"/>
          <w:sz w:val="32"/>
          <w:szCs w:val="32"/>
        </w:rPr>
        <w:t>政府网信息公开平台公开政府信息共计</w:t>
      </w:r>
      <w:r>
        <w:rPr>
          <w:rFonts w:hint="eastAsia" w:ascii="仿宋" w:hAnsi="仿宋" w:eastAsia="仿宋" w:cs="仿宋"/>
          <w:color w:val="333333"/>
          <w:sz w:val="32"/>
          <w:szCs w:val="32"/>
          <w:lang w:val="en-US" w:eastAsia="zh-CN"/>
        </w:rPr>
        <w:t>39</w:t>
      </w:r>
      <w:r>
        <w:rPr>
          <w:rFonts w:ascii="仿宋" w:hAnsi="仿宋" w:eastAsia="仿宋" w:cs="仿宋"/>
          <w:color w:val="333333"/>
          <w:sz w:val="32"/>
          <w:szCs w:val="32"/>
        </w:rPr>
        <w:t>条。</w:t>
      </w:r>
    </w:p>
    <w:p>
      <w:pPr>
        <w:pStyle w:val="5"/>
        <w:widowControl/>
        <w:numPr>
          <w:ilvl w:val="0"/>
          <w:numId w:val="1"/>
        </w:numPr>
        <w:shd w:val="clear" w:color="auto" w:fill="FFFFFF"/>
        <w:spacing w:beforeAutospacing="0" w:afterAutospacing="0"/>
        <w:ind w:left="420" w:firstLine="320" w:firstLineChars="100"/>
        <w:jc w:val="both"/>
        <w:rPr>
          <w:rFonts w:ascii="楷体" w:hAnsi="楷体" w:eastAsia="楷体" w:cs="楷体"/>
          <w:bCs/>
          <w:color w:val="333333"/>
          <w:sz w:val="32"/>
          <w:szCs w:val="32"/>
          <w:shd w:val="clear" w:color="auto" w:fill="FFFFFF"/>
        </w:rPr>
      </w:pPr>
      <w:r>
        <w:rPr>
          <w:rFonts w:hint="eastAsia" w:ascii="楷体" w:hAnsi="楷体" w:eastAsia="楷体" w:cs="楷体"/>
          <w:bCs/>
          <w:color w:val="333333"/>
          <w:sz w:val="32"/>
          <w:szCs w:val="32"/>
          <w:shd w:val="clear" w:color="auto" w:fill="FFFFFF"/>
        </w:rPr>
        <w:t>主动公开</w:t>
      </w:r>
    </w:p>
    <w:p>
      <w:pPr>
        <w:pStyle w:val="5"/>
        <w:widowControl/>
        <w:shd w:val="clear" w:color="auto" w:fill="FFFFFF"/>
        <w:spacing w:beforeAutospacing="0" w:afterAutospacing="0"/>
        <w:ind w:firstLine="640"/>
        <w:jc w:val="both"/>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婺源县工信局</w:t>
      </w:r>
      <w:r>
        <w:rPr>
          <w:rFonts w:hint="eastAsia" w:ascii="仿宋" w:hAnsi="仿宋" w:eastAsia="仿宋" w:cs="仿宋"/>
          <w:color w:val="333333"/>
          <w:sz w:val="32"/>
          <w:szCs w:val="32"/>
        </w:rPr>
        <w:t>认真贯彻落实省、市、县有关政务公开工作要求，始终坚持“以公开为常态、不公开为例外”原则，主动公开概况信息、</w:t>
      </w:r>
      <w:r>
        <w:rPr>
          <w:rFonts w:hint="eastAsia" w:ascii="仿宋" w:hAnsi="仿宋" w:eastAsia="仿宋" w:cs="仿宋"/>
          <w:color w:val="333333"/>
          <w:sz w:val="32"/>
          <w:szCs w:val="32"/>
          <w:lang w:val="en-US" w:eastAsia="zh-CN"/>
        </w:rPr>
        <w:t>法规</w:t>
      </w:r>
      <w:r>
        <w:rPr>
          <w:rFonts w:hint="eastAsia" w:ascii="仿宋" w:hAnsi="仿宋" w:eastAsia="仿宋" w:cs="仿宋"/>
          <w:color w:val="333333"/>
          <w:sz w:val="32"/>
          <w:szCs w:val="32"/>
        </w:rPr>
        <w:t>文件、发展规划、工作动态、人事信息、财经信息等多方面的</w:t>
      </w:r>
      <w:r>
        <w:rPr>
          <w:rFonts w:hint="eastAsia" w:ascii="仿宋" w:hAnsi="仿宋" w:eastAsia="仿宋" w:cs="仿宋"/>
          <w:color w:val="333333"/>
          <w:sz w:val="32"/>
          <w:szCs w:val="32"/>
          <w:lang w:val="en-US" w:eastAsia="zh-CN"/>
        </w:rPr>
        <w:t>信息</w:t>
      </w:r>
      <w:r>
        <w:rPr>
          <w:rFonts w:hint="eastAsia" w:ascii="仿宋" w:hAnsi="仿宋" w:eastAsia="仿宋" w:cs="仿宋"/>
          <w:color w:val="333333"/>
          <w:sz w:val="32"/>
          <w:szCs w:val="32"/>
        </w:rPr>
        <w:t>，并坚持以市场主体和群众需求为导向，提高政府信息公开精准度和到达率。</w:t>
      </w:r>
    </w:p>
    <w:p>
      <w:pPr>
        <w:pStyle w:val="5"/>
        <w:widowControl/>
        <w:shd w:val="clear" w:color="auto" w:fill="FFFFFF"/>
        <w:spacing w:beforeAutospacing="0" w:afterAutospacing="0"/>
        <w:ind w:firstLine="640"/>
        <w:jc w:val="both"/>
        <w:rPr>
          <w:rFonts w:hint="eastAsia" w:ascii="仿宋" w:hAnsi="仿宋" w:eastAsia="仿宋" w:cs="仿宋"/>
          <w:color w:val="333333"/>
          <w:sz w:val="32"/>
          <w:szCs w:val="32"/>
        </w:rPr>
      </w:pPr>
      <w:r>
        <w:rPr>
          <w:rFonts w:hint="eastAsia" w:ascii="仿宋" w:hAnsi="仿宋" w:eastAsia="仿宋" w:cs="仿宋"/>
          <w:color w:val="333333"/>
          <w:sz w:val="32"/>
          <w:szCs w:val="32"/>
        </w:rPr>
        <w:t>2022年我单位在婺源县人民政府信息网上总共发布</w:t>
      </w:r>
      <w:r>
        <w:rPr>
          <w:rFonts w:hint="eastAsia" w:ascii="仿宋" w:hAnsi="仿宋" w:eastAsia="仿宋" w:cs="仿宋"/>
          <w:color w:val="333333"/>
          <w:sz w:val="32"/>
          <w:szCs w:val="32"/>
          <w:lang w:val="en-US" w:eastAsia="zh-CN"/>
        </w:rPr>
        <w:t>39</w:t>
      </w:r>
      <w:r>
        <w:rPr>
          <w:rFonts w:hint="eastAsia" w:ascii="仿宋" w:hAnsi="仿宋" w:eastAsia="仿宋" w:cs="仿宋"/>
          <w:color w:val="333333"/>
          <w:sz w:val="32"/>
          <w:szCs w:val="32"/>
        </w:rPr>
        <w:t>条信息，其中概况信息</w:t>
      </w: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条，法规文件</w:t>
      </w:r>
      <w:r>
        <w:rPr>
          <w:rFonts w:hint="eastAsia" w:ascii="仿宋" w:hAnsi="仿宋" w:eastAsia="仿宋" w:cs="仿宋"/>
          <w:color w:val="333333"/>
          <w:sz w:val="32"/>
          <w:szCs w:val="32"/>
          <w:lang w:val="en-US" w:eastAsia="zh-CN"/>
        </w:rPr>
        <w:t>6</w:t>
      </w:r>
      <w:r>
        <w:rPr>
          <w:rFonts w:hint="eastAsia" w:ascii="仿宋" w:hAnsi="仿宋" w:eastAsia="仿宋" w:cs="仿宋"/>
          <w:color w:val="333333"/>
          <w:sz w:val="32"/>
          <w:szCs w:val="32"/>
        </w:rPr>
        <w:t>条，发展规划</w:t>
      </w: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条，工作动态</w:t>
      </w:r>
      <w:r>
        <w:rPr>
          <w:rFonts w:hint="eastAsia" w:ascii="仿宋" w:hAnsi="仿宋" w:eastAsia="仿宋" w:cs="仿宋"/>
          <w:color w:val="333333"/>
          <w:sz w:val="32"/>
          <w:szCs w:val="32"/>
          <w:lang w:val="en-US" w:eastAsia="zh-CN"/>
        </w:rPr>
        <w:t>27</w:t>
      </w:r>
      <w:r>
        <w:rPr>
          <w:rFonts w:hint="eastAsia" w:ascii="仿宋" w:hAnsi="仿宋" w:eastAsia="仿宋" w:cs="仿宋"/>
          <w:color w:val="333333"/>
          <w:sz w:val="32"/>
          <w:szCs w:val="32"/>
        </w:rPr>
        <w:t>条，人事信息</w:t>
      </w: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条，财经信息</w:t>
      </w:r>
      <w:r>
        <w:rPr>
          <w:rFonts w:hint="eastAsia" w:ascii="仿宋" w:hAnsi="仿宋" w:eastAsia="仿宋" w:cs="仿宋"/>
          <w:color w:val="333333"/>
          <w:sz w:val="32"/>
          <w:szCs w:val="32"/>
          <w:lang w:val="en-US" w:eastAsia="zh-CN"/>
        </w:rPr>
        <w:t>3</w:t>
      </w:r>
      <w:r>
        <w:rPr>
          <w:rFonts w:hint="eastAsia" w:ascii="仿宋" w:hAnsi="仿宋" w:eastAsia="仿宋" w:cs="仿宋"/>
          <w:color w:val="333333"/>
          <w:sz w:val="32"/>
          <w:szCs w:val="32"/>
        </w:rPr>
        <w:t>条。</w:t>
      </w:r>
    </w:p>
    <w:p>
      <w:pPr>
        <w:pStyle w:val="5"/>
        <w:widowControl/>
        <w:shd w:val="clear" w:color="auto" w:fill="FFFFFF"/>
        <w:spacing w:beforeAutospacing="0" w:afterAutospacing="0"/>
        <w:ind w:left="0" w:leftChars="0" w:firstLine="640" w:firstLineChars="200"/>
        <w:jc w:val="both"/>
        <w:rPr>
          <w:rFonts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（二）依申请公开</w:t>
      </w:r>
    </w:p>
    <w:p>
      <w:pPr>
        <w:pStyle w:val="5"/>
        <w:widowControl/>
        <w:shd w:val="clear" w:color="auto" w:fill="FFFFFF"/>
        <w:spacing w:beforeAutospacing="0" w:afterAutospacing="0"/>
        <w:ind w:firstLine="640"/>
        <w:jc w:val="both"/>
        <w:rPr>
          <w:rFonts w:hint="eastAsia" w:ascii="仿宋" w:hAnsi="仿宋" w:eastAsia="仿宋" w:cs="仿宋"/>
          <w:color w:val="333333"/>
          <w:sz w:val="32"/>
          <w:szCs w:val="32"/>
        </w:rPr>
      </w:pPr>
      <w:r>
        <w:rPr>
          <w:rFonts w:hint="eastAsia" w:ascii="仿宋" w:hAnsi="仿宋" w:eastAsia="仿宋" w:cs="仿宋"/>
          <w:color w:val="333333"/>
          <w:sz w:val="32"/>
          <w:szCs w:val="32"/>
        </w:rPr>
        <w:t>我单位在依申请公开工作中严格落实《政府信息公开条例》，健全工作机制，强化服务意识，规范公开渠道。紧紧围绕中心工作充实公开内容，提高行政工作透明度。进一步完善政府信息公开申请登记、审核、办理、答复、归档等工作制度。2022年度我</w:t>
      </w:r>
      <w:r>
        <w:rPr>
          <w:rFonts w:hint="eastAsia" w:ascii="仿宋" w:hAnsi="仿宋" w:eastAsia="仿宋" w:cs="仿宋"/>
          <w:color w:val="333333"/>
          <w:sz w:val="32"/>
          <w:szCs w:val="32"/>
          <w:lang w:val="en-US" w:eastAsia="zh-CN"/>
        </w:rPr>
        <w:t>单位</w:t>
      </w:r>
      <w:r>
        <w:rPr>
          <w:rFonts w:hint="eastAsia" w:ascii="仿宋" w:hAnsi="仿宋" w:eastAsia="仿宋" w:cs="仿宋"/>
          <w:color w:val="333333"/>
          <w:sz w:val="32"/>
          <w:szCs w:val="32"/>
        </w:rPr>
        <w:t>未收到依申请公开申请，在全年的信息公开工作中，未出现因政府信息公开</w:t>
      </w:r>
      <w:r>
        <w:rPr>
          <w:rFonts w:hint="eastAsia" w:ascii="仿宋" w:hAnsi="仿宋" w:eastAsia="仿宋" w:cs="仿宋"/>
          <w:color w:val="333333"/>
          <w:sz w:val="32"/>
          <w:szCs w:val="32"/>
          <w:lang w:val="en-US" w:eastAsia="zh-CN"/>
        </w:rPr>
        <w:t>工作</w:t>
      </w:r>
      <w:r>
        <w:rPr>
          <w:rFonts w:hint="eastAsia" w:ascii="仿宋" w:hAnsi="仿宋" w:eastAsia="仿宋" w:cs="仿宋"/>
          <w:color w:val="333333"/>
          <w:sz w:val="32"/>
          <w:szCs w:val="32"/>
        </w:rPr>
        <w:t>被申请行政复议</w:t>
      </w:r>
      <w:r>
        <w:rPr>
          <w:rFonts w:hint="eastAsia" w:ascii="仿宋" w:hAnsi="仿宋" w:eastAsia="仿宋" w:cs="仿宋"/>
          <w:color w:val="333333"/>
          <w:sz w:val="32"/>
          <w:szCs w:val="32"/>
          <w:lang w:val="en-US" w:eastAsia="zh-CN"/>
        </w:rPr>
        <w:t>的情况</w:t>
      </w:r>
      <w:r>
        <w:rPr>
          <w:rFonts w:hint="eastAsia" w:ascii="仿宋" w:hAnsi="仿宋" w:eastAsia="仿宋" w:cs="仿宋"/>
          <w:color w:val="333333"/>
          <w:sz w:val="32"/>
          <w:szCs w:val="32"/>
        </w:rPr>
        <w:t>，未</w:t>
      </w:r>
      <w:r>
        <w:rPr>
          <w:rFonts w:hint="eastAsia" w:ascii="仿宋" w:hAnsi="仿宋" w:eastAsia="仿宋" w:cs="仿宋"/>
          <w:color w:val="333333"/>
          <w:sz w:val="32"/>
          <w:szCs w:val="32"/>
          <w:lang w:val="en-US" w:eastAsia="zh-CN"/>
        </w:rPr>
        <w:t>出现</w:t>
      </w:r>
      <w:r>
        <w:rPr>
          <w:rFonts w:hint="eastAsia" w:ascii="仿宋" w:hAnsi="仿宋" w:eastAsia="仿宋" w:cs="仿宋"/>
          <w:color w:val="333333"/>
          <w:sz w:val="32"/>
          <w:szCs w:val="32"/>
        </w:rPr>
        <w:t>因政府信息公开</w:t>
      </w:r>
      <w:r>
        <w:rPr>
          <w:rFonts w:hint="eastAsia" w:ascii="仿宋" w:hAnsi="仿宋" w:eastAsia="仿宋" w:cs="仿宋"/>
          <w:color w:val="333333"/>
          <w:sz w:val="32"/>
          <w:szCs w:val="32"/>
          <w:lang w:val="en-US" w:eastAsia="zh-CN"/>
        </w:rPr>
        <w:t>工作</w:t>
      </w:r>
      <w:r>
        <w:rPr>
          <w:rFonts w:hint="eastAsia" w:ascii="仿宋" w:hAnsi="仿宋" w:eastAsia="仿宋" w:cs="仿宋"/>
          <w:color w:val="333333"/>
          <w:sz w:val="32"/>
          <w:szCs w:val="32"/>
        </w:rPr>
        <w:t>被提起行政诉讼的情况。</w:t>
      </w:r>
    </w:p>
    <w:p>
      <w:pPr>
        <w:pStyle w:val="5"/>
        <w:widowControl/>
        <w:shd w:val="clear" w:color="auto" w:fill="FFFFFF"/>
        <w:spacing w:beforeAutospacing="0" w:afterAutospacing="0"/>
        <w:ind w:firstLine="640"/>
        <w:jc w:val="both"/>
        <w:rPr>
          <w:rFonts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（三）政府信息管理</w:t>
      </w:r>
    </w:p>
    <w:p>
      <w:pPr>
        <w:pStyle w:val="5"/>
        <w:widowControl/>
        <w:shd w:val="clear" w:color="auto" w:fill="FFFFFF"/>
        <w:spacing w:beforeAutospacing="0" w:afterAutospacing="0"/>
        <w:ind w:firstLine="640"/>
        <w:jc w:val="both"/>
        <w:rPr>
          <w:rFonts w:hint="eastAsia" w:ascii="仿宋" w:hAnsi="仿宋" w:eastAsia="仿宋" w:cs="仿宋"/>
          <w:color w:val="333333"/>
          <w:sz w:val="32"/>
          <w:szCs w:val="32"/>
        </w:rPr>
      </w:pPr>
      <w:r>
        <w:rPr>
          <w:rFonts w:hint="eastAsia" w:ascii="仿宋" w:hAnsi="仿宋" w:eastAsia="仿宋" w:cs="仿宋"/>
          <w:color w:val="333333"/>
          <w:sz w:val="32"/>
          <w:szCs w:val="32"/>
        </w:rPr>
        <w:t>2022年，我</w:t>
      </w:r>
      <w:r>
        <w:rPr>
          <w:rFonts w:hint="eastAsia" w:ascii="仿宋" w:hAnsi="仿宋" w:eastAsia="仿宋" w:cs="仿宋"/>
          <w:color w:val="333333"/>
          <w:sz w:val="32"/>
          <w:szCs w:val="32"/>
          <w:lang w:val="en-US" w:eastAsia="zh-CN"/>
        </w:rPr>
        <w:t>单位</w:t>
      </w:r>
      <w:r>
        <w:rPr>
          <w:rFonts w:hint="eastAsia" w:ascii="仿宋" w:hAnsi="仿宋" w:eastAsia="仿宋" w:cs="仿宋"/>
          <w:color w:val="333333"/>
          <w:sz w:val="32"/>
          <w:szCs w:val="32"/>
        </w:rPr>
        <w:t>加强组织领导，建立工作机构，落实“主要领导亲自抓，分管领导具体抓，职能部门抓落实”的工作机制，推进</w:t>
      </w:r>
      <w:r>
        <w:rPr>
          <w:rFonts w:hint="eastAsia" w:ascii="仿宋" w:hAnsi="仿宋" w:eastAsia="仿宋" w:cs="仿宋"/>
          <w:color w:val="333333"/>
          <w:sz w:val="32"/>
          <w:szCs w:val="32"/>
          <w:lang w:val="en-US" w:eastAsia="zh-CN"/>
        </w:rPr>
        <w:t>部门</w:t>
      </w:r>
      <w:r>
        <w:rPr>
          <w:rFonts w:hint="eastAsia" w:ascii="仿宋" w:hAnsi="仿宋" w:eastAsia="仿宋" w:cs="仿宋"/>
          <w:color w:val="333333"/>
          <w:sz w:val="32"/>
          <w:szCs w:val="32"/>
        </w:rPr>
        <w:t>信息公开工作有序开展。我</w:t>
      </w:r>
      <w:r>
        <w:rPr>
          <w:rFonts w:hint="eastAsia" w:ascii="仿宋" w:hAnsi="仿宋" w:eastAsia="仿宋" w:cs="仿宋"/>
          <w:color w:val="333333"/>
          <w:sz w:val="32"/>
          <w:szCs w:val="32"/>
          <w:lang w:val="en-US" w:eastAsia="zh-CN"/>
        </w:rPr>
        <w:t>单位</w:t>
      </w:r>
      <w:r>
        <w:rPr>
          <w:rFonts w:hint="eastAsia" w:ascii="仿宋" w:hAnsi="仿宋" w:eastAsia="仿宋" w:cs="仿宋"/>
          <w:color w:val="333333"/>
          <w:sz w:val="32"/>
          <w:szCs w:val="32"/>
        </w:rPr>
        <w:t>按照县政府统一部署，加强组织领导，健全工作机制，认真贯彻《中华人民共和国政府信息公开条例》的各项要求，扎实推进</w:t>
      </w:r>
      <w:r>
        <w:rPr>
          <w:rFonts w:hint="eastAsia" w:ascii="仿宋" w:hAnsi="仿宋" w:eastAsia="仿宋" w:cs="仿宋"/>
          <w:color w:val="333333"/>
          <w:sz w:val="32"/>
          <w:szCs w:val="32"/>
          <w:lang w:val="en-US" w:eastAsia="zh-CN"/>
        </w:rPr>
        <w:t>工信科技</w:t>
      </w:r>
      <w:r>
        <w:rPr>
          <w:rFonts w:hint="eastAsia" w:ascii="仿宋" w:hAnsi="仿宋" w:eastAsia="仿宋" w:cs="仿宋"/>
          <w:color w:val="333333"/>
          <w:sz w:val="32"/>
          <w:szCs w:val="32"/>
        </w:rPr>
        <w:t>行政信息公开工作，切实为公民、法人和其他组织提供直接、全面、真实</w:t>
      </w:r>
      <w:r>
        <w:rPr>
          <w:rFonts w:hint="eastAsia" w:ascii="仿宋" w:hAnsi="仿宋" w:eastAsia="仿宋" w:cs="仿宋"/>
          <w:color w:val="333333"/>
          <w:sz w:val="32"/>
          <w:szCs w:val="32"/>
          <w:lang w:val="en-US" w:eastAsia="zh-CN"/>
        </w:rPr>
        <w:t>的工信科技</w:t>
      </w:r>
      <w:r>
        <w:rPr>
          <w:rFonts w:hint="eastAsia" w:ascii="仿宋" w:hAnsi="仿宋" w:eastAsia="仿宋" w:cs="仿宋"/>
          <w:color w:val="333333"/>
          <w:sz w:val="32"/>
          <w:szCs w:val="32"/>
        </w:rPr>
        <w:t>行政信息。加强对</w:t>
      </w:r>
      <w:r>
        <w:rPr>
          <w:rFonts w:hint="eastAsia" w:ascii="仿宋" w:hAnsi="仿宋" w:eastAsia="仿宋" w:cs="仿宋"/>
          <w:color w:val="333333"/>
          <w:sz w:val="32"/>
          <w:szCs w:val="32"/>
          <w:lang w:val="en-US" w:eastAsia="zh-CN"/>
        </w:rPr>
        <w:t>单位</w:t>
      </w:r>
      <w:r>
        <w:rPr>
          <w:rFonts w:hint="eastAsia" w:ascii="仿宋" w:hAnsi="仿宋" w:eastAsia="仿宋" w:cs="仿宋"/>
          <w:color w:val="333333"/>
          <w:sz w:val="32"/>
          <w:szCs w:val="32"/>
        </w:rPr>
        <w:t>信息公开的督促，</w:t>
      </w:r>
      <w:r>
        <w:rPr>
          <w:rFonts w:hint="eastAsia" w:ascii="仿宋" w:hAnsi="仿宋" w:eastAsia="仿宋" w:cs="仿宋"/>
          <w:color w:val="333333"/>
          <w:sz w:val="32"/>
          <w:szCs w:val="32"/>
          <w:lang w:val="en-US" w:eastAsia="zh-CN"/>
        </w:rPr>
        <w:t>单位内部</w:t>
      </w:r>
      <w:r>
        <w:rPr>
          <w:rFonts w:hint="eastAsia" w:ascii="仿宋" w:hAnsi="仿宋" w:eastAsia="仿宋" w:cs="仿宋"/>
          <w:color w:val="333333"/>
          <w:sz w:val="32"/>
          <w:szCs w:val="32"/>
        </w:rPr>
        <w:t>各有关股室也建立起了工作联系制度。</w:t>
      </w:r>
    </w:p>
    <w:p>
      <w:pPr>
        <w:pStyle w:val="5"/>
        <w:widowControl/>
        <w:shd w:val="clear" w:color="auto" w:fill="FFFFFF"/>
        <w:spacing w:beforeAutospacing="0" w:afterAutospacing="0"/>
        <w:ind w:left="0" w:leftChars="0" w:firstLine="640" w:firstLineChars="200"/>
        <w:jc w:val="both"/>
        <w:rPr>
          <w:rFonts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（四）平台建设</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left="0" w:leftChars="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我单位</w:t>
      </w:r>
      <w:r>
        <w:rPr>
          <w:rFonts w:hint="eastAsia" w:ascii="仿宋" w:hAnsi="仿宋" w:eastAsia="仿宋" w:cs="仿宋"/>
          <w:color w:val="333333"/>
          <w:sz w:val="32"/>
          <w:szCs w:val="32"/>
        </w:rPr>
        <w:t>按照县政务公开文件精神，精确规划、标准建设，及时准确公布相关政务信息，通过</w:t>
      </w:r>
      <w:r>
        <w:rPr>
          <w:rFonts w:hint="eastAsia" w:ascii="仿宋" w:hAnsi="仿宋" w:eastAsia="仿宋" w:cs="仿宋"/>
          <w:color w:val="333333"/>
          <w:sz w:val="32"/>
          <w:szCs w:val="32"/>
          <w:lang w:val="en-US" w:eastAsia="zh-CN"/>
        </w:rPr>
        <w:t>婺源</w:t>
      </w:r>
      <w:r>
        <w:rPr>
          <w:rFonts w:hint="eastAsia" w:ascii="仿宋" w:hAnsi="仿宋" w:eastAsia="仿宋" w:cs="仿宋"/>
          <w:color w:val="333333"/>
          <w:sz w:val="32"/>
          <w:szCs w:val="32"/>
        </w:rPr>
        <w:t>县政府门户网站管理平台及时</w:t>
      </w:r>
      <w:r>
        <w:rPr>
          <w:rFonts w:hint="eastAsia" w:ascii="仿宋" w:hAnsi="仿宋" w:eastAsia="仿宋" w:cs="仿宋"/>
          <w:color w:val="333333"/>
          <w:sz w:val="32"/>
          <w:szCs w:val="32"/>
          <w:lang w:val="en-US" w:eastAsia="zh-CN"/>
        </w:rPr>
        <w:t>公开</w:t>
      </w:r>
      <w:r>
        <w:rPr>
          <w:rFonts w:hint="eastAsia" w:ascii="仿宋" w:hAnsi="仿宋" w:eastAsia="仿宋" w:cs="仿宋"/>
          <w:color w:val="333333"/>
          <w:sz w:val="32"/>
          <w:szCs w:val="32"/>
        </w:rPr>
        <w:t>信息。</w:t>
      </w:r>
      <w:r>
        <w:rPr>
          <w:rFonts w:hint="eastAsia" w:ascii="仿宋" w:hAnsi="仿宋" w:eastAsia="仿宋" w:cs="仿宋"/>
          <w:color w:val="333333"/>
          <w:sz w:val="32"/>
          <w:szCs w:val="32"/>
          <w:lang w:val="en-US" w:eastAsia="zh-CN"/>
        </w:rPr>
        <w:t>本单位页面工作动态专栏定期发布工信科技日常工作进展和数字经济政策指标情况</w:t>
      </w:r>
      <w:r>
        <w:rPr>
          <w:rFonts w:hint="eastAsia" w:ascii="仿宋" w:hAnsi="仿宋" w:eastAsia="仿宋" w:cs="仿宋"/>
          <w:color w:val="333333"/>
          <w:sz w:val="32"/>
          <w:szCs w:val="32"/>
        </w:rPr>
        <w:t>，方便群众</w:t>
      </w:r>
      <w:r>
        <w:rPr>
          <w:rFonts w:hint="eastAsia" w:ascii="仿宋" w:hAnsi="仿宋" w:eastAsia="仿宋" w:cs="仿宋"/>
          <w:color w:val="333333"/>
          <w:sz w:val="32"/>
          <w:szCs w:val="32"/>
          <w:lang w:val="en-US" w:eastAsia="zh-CN"/>
        </w:rPr>
        <w:t>及时</w:t>
      </w:r>
      <w:r>
        <w:rPr>
          <w:rFonts w:hint="eastAsia" w:ascii="仿宋" w:hAnsi="仿宋" w:eastAsia="仿宋" w:cs="仿宋"/>
          <w:color w:val="333333"/>
          <w:sz w:val="32"/>
          <w:szCs w:val="32"/>
        </w:rPr>
        <w:t>获取信息。安排专人负责政务网信息公开的维护管理和公开信息的编辑、审核，有效保证了网站信息更新速率和数量。</w:t>
      </w:r>
    </w:p>
    <w:p>
      <w:pPr>
        <w:pStyle w:val="5"/>
        <w:shd w:val="clear" w:color="auto" w:fill="FFFFFF"/>
        <w:spacing w:beforeAutospacing="0" w:afterAutospacing="0"/>
        <w:ind w:firstLine="640"/>
        <w:jc w:val="both"/>
        <w:rPr>
          <w:rFonts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（五）监督保障</w:t>
      </w:r>
    </w:p>
    <w:p>
      <w:pPr>
        <w:pStyle w:val="5"/>
        <w:shd w:val="clear" w:color="auto" w:fill="FFFFFF"/>
        <w:spacing w:beforeAutospacing="0" w:afterAutospacing="0"/>
        <w:ind w:firstLine="640"/>
        <w:jc w:val="both"/>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我单位</w:t>
      </w:r>
      <w:r>
        <w:rPr>
          <w:rFonts w:hint="eastAsia" w:ascii="仿宋" w:hAnsi="仿宋" w:eastAsia="仿宋" w:cs="仿宋"/>
          <w:color w:val="333333"/>
          <w:sz w:val="32"/>
          <w:szCs w:val="32"/>
        </w:rPr>
        <w:t>严格实行信息编写、审核和报送各环节层层把关负责制，严把信息质量关口，重要信息由主要领导审签。实行信息保密审查机制。加强政府信息公开属性审核，坚持“先审核后公开”、“谁公开谁审核、谁审核谁负责”原则。</w:t>
      </w:r>
    </w:p>
    <w:p>
      <w:pPr>
        <w:numPr>
          <w:ilvl w:val="0"/>
          <w:numId w:val="2"/>
        </w:numPr>
        <w:spacing w:line="540" w:lineRule="exact"/>
        <w:ind w:firstLine="640"/>
        <w:rPr>
          <w:rFonts w:hint="eastAsia" w:ascii="黑体" w:hAnsi="黑体" w:eastAsia="黑体" w:cs="黑体"/>
          <w:bCs/>
          <w:sz w:val="32"/>
          <w:szCs w:val="32"/>
        </w:rPr>
      </w:pPr>
      <w:r>
        <w:rPr>
          <w:rFonts w:hint="eastAsia" w:ascii="黑体" w:hAnsi="黑体" w:eastAsia="黑体" w:cs="黑体"/>
          <w:bCs/>
          <w:sz w:val="32"/>
          <w:szCs w:val="32"/>
        </w:rPr>
        <w:t>主动公开政府信息情况</w:t>
      </w:r>
    </w:p>
    <w:tbl>
      <w:tblPr>
        <w:tblStyle w:val="6"/>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2173"/>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4" w:type="dxa"/>
            <w:gridSpan w:val="4"/>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991" w:type="dxa"/>
            <w:shd w:val="clear" w:color="auto" w:fill="auto"/>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信息内容</w:t>
            </w:r>
          </w:p>
        </w:tc>
        <w:tc>
          <w:tcPr>
            <w:tcW w:w="2173" w:type="dxa"/>
            <w:shd w:val="clear" w:color="auto" w:fill="auto"/>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本年制发件数</w:t>
            </w:r>
          </w:p>
        </w:tc>
        <w:tc>
          <w:tcPr>
            <w:tcW w:w="2025" w:type="dxa"/>
            <w:shd w:val="clear" w:color="auto" w:fill="auto"/>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本年废止件数</w:t>
            </w:r>
          </w:p>
        </w:tc>
        <w:tc>
          <w:tcPr>
            <w:tcW w:w="2295" w:type="dxa"/>
            <w:shd w:val="clear" w:color="auto" w:fill="auto"/>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91" w:type="dxa"/>
            <w:shd w:val="clear" w:color="auto" w:fill="auto"/>
            <w:vAlign w:val="center"/>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规章</w:t>
            </w:r>
          </w:p>
        </w:tc>
        <w:tc>
          <w:tcPr>
            <w:tcW w:w="2173" w:type="dxa"/>
            <w:shd w:val="clear" w:color="auto" w:fill="auto"/>
          </w:tcPr>
          <w:p>
            <w:pPr>
              <w:spacing w:line="460" w:lineRule="exact"/>
              <w:ind w:firstLine="420"/>
              <w:jc w:val="left"/>
              <w:rPr>
                <w:rFonts w:hint="eastAsia" w:ascii="仿宋" w:hAnsi="仿宋" w:eastAsia="仿宋" w:cs="仿宋"/>
                <w:szCs w:val="21"/>
                <w:lang w:val="en-US" w:eastAsia="zh-CN"/>
              </w:rPr>
            </w:pPr>
            <w:r>
              <w:rPr>
                <w:rFonts w:hint="eastAsia" w:ascii="仿宋" w:hAnsi="仿宋" w:eastAsia="仿宋" w:cs="仿宋"/>
                <w:szCs w:val="21"/>
                <w:lang w:val="en-US" w:eastAsia="zh-CN"/>
              </w:rPr>
              <w:t>0</w:t>
            </w:r>
          </w:p>
        </w:tc>
        <w:tc>
          <w:tcPr>
            <w:tcW w:w="2025" w:type="dxa"/>
            <w:shd w:val="clear" w:color="auto" w:fill="auto"/>
          </w:tcPr>
          <w:p>
            <w:pPr>
              <w:spacing w:line="460" w:lineRule="exact"/>
              <w:ind w:firstLine="420"/>
              <w:jc w:val="left"/>
              <w:rPr>
                <w:rFonts w:hint="eastAsia" w:ascii="仿宋" w:hAnsi="仿宋" w:eastAsia="仿宋" w:cs="仿宋"/>
                <w:szCs w:val="21"/>
                <w:lang w:val="en-US" w:eastAsia="zh-CN"/>
              </w:rPr>
            </w:pPr>
            <w:r>
              <w:rPr>
                <w:rFonts w:hint="eastAsia" w:ascii="仿宋" w:hAnsi="仿宋" w:eastAsia="仿宋" w:cs="仿宋"/>
                <w:szCs w:val="21"/>
                <w:lang w:val="en-US" w:eastAsia="zh-CN"/>
              </w:rPr>
              <w:t>0</w:t>
            </w:r>
          </w:p>
        </w:tc>
        <w:tc>
          <w:tcPr>
            <w:tcW w:w="2295" w:type="dxa"/>
            <w:shd w:val="clear" w:color="auto" w:fill="auto"/>
          </w:tcPr>
          <w:p>
            <w:pPr>
              <w:spacing w:line="460" w:lineRule="exact"/>
              <w:ind w:firstLine="420"/>
              <w:jc w:val="left"/>
              <w:rPr>
                <w:rFonts w:hint="eastAsia" w:ascii="仿宋" w:hAnsi="仿宋" w:eastAsia="仿宋" w:cs="仿宋"/>
                <w:szCs w:val="21"/>
                <w:lang w:val="en-US" w:eastAsia="zh-CN"/>
              </w:rPr>
            </w:pPr>
            <w:r>
              <w:rPr>
                <w:rFonts w:hint="eastAsia" w:ascii="仿宋" w:hAnsi="仿宋" w:eastAsia="仿宋" w:cs="仿宋"/>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91" w:type="dxa"/>
            <w:shd w:val="clear" w:color="auto" w:fill="auto"/>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行政规范性文件</w:t>
            </w:r>
          </w:p>
        </w:tc>
        <w:tc>
          <w:tcPr>
            <w:tcW w:w="2173" w:type="dxa"/>
            <w:shd w:val="clear" w:color="auto" w:fill="auto"/>
          </w:tcPr>
          <w:p>
            <w:pPr>
              <w:spacing w:line="460" w:lineRule="exact"/>
              <w:ind w:firstLine="420"/>
              <w:jc w:val="left"/>
              <w:rPr>
                <w:rFonts w:hint="eastAsia" w:ascii="仿宋" w:hAnsi="仿宋" w:eastAsia="仿宋" w:cs="仿宋"/>
                <w:szCs w:val="21"/>
                <w:lang w:val="en-US" w:eastAsia="zh-CN"/>
              </w:rPr>
            </w:pPr>
            <w:r>
              <w:rPr>
                <w:rFonts w:hint="eastAsia" w:ascii="仿宋" w:hAnsi="仿宋" w:eastAsia="仿宋" w:cs="仿宋"/>
                <w:szCs w:val="21"/>
                <w:lang w:val="en-US" w:eastAsia="zh-CN"/>
              </w:rPr>
              <w:t>4</w:t>
            </w:r>
          </w:p>
        </w:tc>
        <w:tc>
          <w:tcPr>
            <w:tcW w:w="2025" w:type="dxa"/>
            <w:shd w:val="clear" w:color="auto" w:fill="auto"/>
          </w:tcPr>
          <w:p>
            <w:pPr>
              <w:spacing w:line="460" w:lineRule="exact"/>
              <w:ind w:firstLine="420"/>
              <w:jc w:val="left"/>
              <w:rPr>
                <w:rFonts w:hint="eastAsia" w:ascii="仿宋" w:hAnsi="仿宋" w:eastAsia="仿宋" w:cs="仿宋"/>
                <w:szCs w:val="21"/>
                <w:lang w:val="en-US" w:eastAsia="zh-CN"/>
              </w:rPr>
            </w:pPr>
            <w:r>
              <w:rPr>
                <w:rFonts w:hint="eastAsia" w:ascii="仿宋" w:hAnsi="仿宋" w:eastAsia="仿宋" w:cs="仿宋"/>
                <w:szCs w:val="21"/>
                <w:lang w:val="en-US" w:eastAsia="zh-CN"/>
              </w:rPr>
              <w:t>0</w:t>
            </w:r>
          </w:p>
        </w:tc>
        <w:tc>
          <w:tcPr>
            <w:tcW w:w="2295" w:type="dxa"/>
            <w:shd w:val="clear" w:color="auto" w:fill="auto"/>
          </w:tcPr>
          <w:p>
            <w:pPr>
              <w:spacing w:line="460" w:lineRule="exact"/>
              <w:ind w:firstLine="420"/>
              <w:jc w:val="left"/>
              <w:rPr>
                <w:rFonts w:hint="eastAsia" w:ascii="仿宋" w:hAnsi="仿宋" w:eastAsia="仿宋" w:cs="仿宋"/>
                <w:szCs w:val="21"/>
                <w:lang w:val="en-US" w:eastAsia="zh-CN"/>
              </w:rPr>
            </w:pPr>
            <w:r>
              <w:rPr>
                <w:rFonts w:hint="eastAsia" w:ascii="仿宋" w:hAnsi="仿宋" w:eastAsia="仿宋" w:cs="仿宋"/>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991" w:type="dxa"/>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信息内容</w:t>
            </w:r>
          </w:p>
        </w:tc>
        <w:tc>
          <w:tcPr>
            <w:tcW w:w="6493" w:type="dxa"/>
            <w:gridSpan w:val="3"/>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行政许可</w:t>
            </w:r>
          </w:p>
        </w:tc>
        <w:tc>
          <w:tcPr>
            <w:tcW w:w="6493" w:type="dxa"/>
            <w:gridSpan w:val="3"/>
            <w:shd w:val="clear" w:color="auto" w:fill="auto"/>
          </w:tcPr>
          <w:p>
            <w:pPr>
              <w:spacing w:line="460" w:lineRule="exact"/>
              <w:ind w:firstLine="420"/>
              <w:jc w:val="left"/>
              <w:rPr>
                <w:rFonts w:hint="eastAsia" w:ascii="仿宋" w:hAnsi="仿宋" w:eastAsia="仿宋" w:cs="仿宋"/>
                <w:color w:val="FF0000"/>
                <w:szCs w:val="21"/>
                <w:lang w:val="en-US" w:eastAsia="zh-CN"/>
              </w:rPr>
            </w:pPr>
            <w:r>
              <w:rPr>
                <w:rFonts w:hint="eastAsia" w:ascii="仿宋" w:hAnsi="仿宋" w:eastAsia="仿宋" w:cs="仿宋"/>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信息内容</w:t>
            </w:r>
          </w:p>
        </w:tc>
        <w:tc>
          <w:tcPr>
            <w:tcW w:w="6493" w:type="dxa"/>
            <w:gridSpan w:val="3"/>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行政处罚</w:t>
            </w:r>
          </w:p>
        </w:tc>
        <w:tc>
          <w:tcPr>
            <w:tcW w:w="6493" w:type="dxa"/>
            <w:gridSpan w:val="3"/>
            <w:shd w:val="clear" w:color="auto" w:fill="auto"/>
          </w:tcPr>
          <w:p>
            <w:pPr>
              <w:spacing w:line="460" w:lineRule="exact"/>
              <w:ind w:firstLine="420"/>
              <w:jc w:val="left"/>
              <w:rPr>
                <w:rFonts w:hint="eastAsia" w:ascii="仿宋" w:hAnsi="仿宋" w:eastAsia="仿宋" w:cs="仿宋"/>
                <w:szCs w:val="21"/>
                <w:lang w:val="en-US" w:eastAsia="zh-CN"/>
              </w:rPr>
            </w:pPr>
            <w:r>
              <w:rPr>
                <w:rFonts w:hint="eastAsia" w:ascii="仿宋" w:hAnsi="仿宋" w:eastAsia="仿宋" w:cs="仿宋"/>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行政强制</w:t>
            </w:r>
          </w:p>
        </w:tc>
        <w:tc>
          <w:tcPr>
            <w:tcW w:w="6493" w:type="dxa"/>
            <w:gridSpan w:val="3"/>
            <w:shd w:val="clear" w:color="auto" w:fill="auto"/>
          </w:tcPr>
          <w:p>
            <w:pPr>
              <w:spacing w:line="460" w:lineRule="exact"/>
              <w:ind w:firstLine="420"/>
              <w:jc w:val="left"/>
              <w:rPr>
                <w:rFonts w:hint="eastAsia" w:ascii="仿宋" w:hAnsi="仿宋" w:eastAsia="仿宋" w:cs="仿宋"/>
                <w:szCs w:val="21"/>
                <w:lang w:val="en-US" w:eastAsia="zh-CN"/>
              </w:rPr>
            </w:pPr>
            <w:r>
              <w:rPr>
                <w:rFonts w:hint="eastAsia" w:ascii="仿宋" w:hAnsi="仿宋" w:eastAsia="仿宋" w:cs="仿宋"/>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484" w:type="dxa"/>
            <w:gridSpan w:val="4"/>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991" w:type="dxa"/>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信息内容</w:t>
            </w:r>
          </w:p>
        </w:tc>
        <w:tc>
          <w:tcPr>
            <w:tcW w:w="6493" w:type="dxa"/>
            <w:gridSpan w:val="3"/>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991" w:type="dxa"/>
            <w:shd w:val="clear" w:color="auto" w:fill="auto"/>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行政事业性收费</w:t>
            </w:r>
          </w:p>
        </w:tc>
        <w:tc>
          <w:tcPr>
            <w:tcW w:w="6493" w:type="dxa"/>
            <w:gridSpan w:val="3"/>
            <w:shd w:val="clear" w:color="auto" w:fill="auto"/>
          </w:tcPr>
          <w:p>
            <w:pPr>
              <w:spacing w:line="460" w:lineRule="exact"/>
              <w:ind w:firstLine="420"/>
              <w:jc w:val="left"/>
              <w:rPr>
                <w:rFonts w:hint="eastAsia" w:ascii="仿宋" w:hAnsi="仿宋" w:eastAsia="仿宋" w:cs="仿宋"/>
                <w:color w:val="FF0000"/>
                <w:szCs w:val="21"/>
                <w:lang w:val="en-US" w:eastAsia="zh-CN"/>
              </w:rPr>
            </w:pPr>
            <w:r>
              <w:rPr>
                <w:rFonts w:hint="eastAsia" w:ascii="仿宋" w:hAnsi="仿宋" w:eastAsia="仿宋" w:cs="仿宋"/>
                <w:szCs w:val="21"/>
                <w:lang w:val="en-US" w:eastAsia="zh-CN"/>
              </w:rPr>
              <w:t>0</w:t>
            </w:r>
          </w:p>
        </w:tc>
      </w:tr>
    </w:tbl>
    <w:p>
      <w:pPr>
        <w:spacing w:line="540" w:lineRule="exact"/>
        <w:ind w:left="0" w:leftChars="0" w:firstLine="640" w:firstLineChars="200"/>
        <w:rPr>
          <w:rFonts w:ascii="仿宋_GB2312" w:hAnsi="仿宋" w:eastAsia="仿宋_GB2312"/>
          <w:color w:val="FF0000"/>
          <w:sz w:val="32"/>
          <w:szCs w:val="32"/>
        </w:rPr>
      </w:pPr>
      <w:r>
        <w:rPr>
          <w:rFonts w:hint="eastAsia" w:ascii="黑体" w:hAnsi="黑体" w:eastAsia="黑体" w:cs="黑体"/>
          <w:bCs/>
          <w:sz w:val="32"/>
          <w:szCs w:val="32"/>
        </w:rPr>
        <w:t>三、收到和处理政府信息公开申请情况</w:t>
      </w:r>
    </w:p>
    <w:tbl>
      <w:tblPr>
        <w:tblStyle w:val="6"/>
        <w:tblW w:w="0" w:type="auto"/>
        <w:jc w:val="center"/>
        <w:tblLayout w:type="fixed"/>
        <w:tblCellMar>
          <w:top w:w="0" w:type="dxa"/>
          <w:left w:w="0" w:type="dxa"/>
          <w:bottom w:w="0" w:type="dxa"/>
          <w:right w:w="0" w:type="dxa"/>
        </w:tblCellMar>
      </w:tblPr>
      <w:tblGrid>
        <w:gridCol w:w="974"/>
        <w:gridCol w:w="1384"/>
        <w:gridCol w:w="3069"/>
        <w:gridCol w:w="413"/>
        <w:gridCol w:w="480"/>
        <w:gridCol w:w="447"/>
        <w:gridCol w:w="440"/>
        <w:gridCol w:w="467"/>
        <w:gridCol w:w="446"/>
        <w:gridCol w:w="379"/>
      </w:tblGrid>
      <w:tr>
        <w:tblPrEx>
          <w:tblCellMar>
            <w:top w:w="0" w:type="dxa"/>
            <w:left w:w="0" w:type="dxa"/>
            <w:bottom w:w="0" w:type="dxa"/>
            <w:right w:w="0" w:type="dxa"/>
          </w:tblCellMar>
        </w:tblPrEx>
        <w:trPr>
          <w:trHeight w:val="543" w:hRule="atLeast"/>
          <w:jc w:val="center"/>
        </w:trPr>
        <w:tc>
          <w:tcPr>
            <w:tcW w:w="5427"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left="0" w:leftChars="0" w:firstLine="0" w:firstLineChars="0"/>
              <w:jc w:val="both"/>
              <w:rPr>
                <w:rFonts w:ascii="仿宋" w:hAnsi="仿宋" w:eastAsia="仿宋" w:cs="仿宋"/>
                <w:sz w:val="24"/>
              </w:rPr>
            </w:pPr>
            <w:r>
              <w:rPr>
                <w:rFonts w:ascii="仿宋" w:hAnsi="仿宋" w:eastAsia="仿宋" w:cs="仿宋"/>
                <w:sz w:val="24"/>
              </w:rPr>
              <w:t>（本列数据的勾稽关系为：第一项加第二项之和，等于第三项加第四项之和）</w:t>
            </w:r>
          </w:p>
        </w:tc>
        <w:tc>
          <w:tcPr>
            <w:tcW w:w="3072"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r>
              <w:rPr>
                <w:rFonts w:hint="eastAsia" w:ascii="仿宋" w:hAnsi="仿宋" w:eastAsia="仿宋" w:cs="仿宋"/>
                <w:sz w:val="24"/>
              </w:rPr>
              <w:t>申请人情况</w:t>
            </w:r>
          </w:p>
        </w:tc>
      </w:tr>
      <w:tr>
        <w:tblPrEx>
          <w:tblCellMar>
            <w:top w:w="0" w:type="dxa"/>
            <w:left w:w="0" w:type="dxa"/>
            <w:bottom w:w="0" w:type="dxa"/>
            <w:right w:w="0" w:type="dxa"/>
          </w:tblCellMar>
        </w:tblPrEx>
        <w:trPr>
          <w:trHeight w:val="543" w:hRule="atLeast"/>
          <w:jc w:val="center"/>
        </w:trPr>
        <w:tc>
          <w:tcPr>
            <w:tcW w:w="5427"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firstLine="480"/>
              <w:jc w:val="center"/>
              <w:rPr>
                <w:rFonts w:ascii="仿宋" w:hAnsi="仿宋" w:eastAsia="仿宋" w:cs="仿宋"/>
                <w:sz w:val="24"/>
              </w:rPr>
            </w:pPr>
          </w:p>
        </w:tc>
        <w:tc>
          <w:tcPr>
            <w:tcW w:w="413"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自然人</w:t>
            </w:r>
          </w:p>
        </w:tc>
        <w:tc>
          <w:tcPr>
            <w:tcW w:w="228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firstLine="480"/>
              <w:jc w:val="center"/>
              <w:rPr>
                <w:rFonts w:ascii="仿宋" w:hAnsi="仿宋" w:eastAsia="仿宋" w:cs="仿宋"/>
                <w:sz w:val="24"/>
              </w:rPr>
            </w:pPr>
            <w:r>
              <w:rPr>
                <w:rFonts w:hint="eastAsia" w:ascii="仿宋" w:hAnsi="仿宋" w:eastAsia="仿宋" w:cs="仿宋"/>
                <w:sz w:val="24"/>
              </w:rPr>
              <w:t>法人或其他组织</w:t>
            </w:r>
          </w:p>
        </w:tc>
        <w:tc>
          <w:tcPr>
            <w:tcW w:w="379"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总计</w:t>
            </w:r>
          </w:p>
        </w:tc>
      </w:tr>
      <w:tr>
        <w:tblPrEx>
          <w:tblCellMar>
            <w:top w:w="0" w:type="dxa"/>
            <w:left w:w="0" w:type="dxa"/>
            <w:bottom w:w="0" w:type="dxa"/>
            <w:right w:w="0" w:type="dxa"/>
          </w:tblCellMar>
        </w:tblPrEx>
        <w:trPr>
          <w:trHeight w:val="3615" w:hRule="atLeast"/>
          <w:jc w:val="center"/>
        </w:trPr>
        <w:tc>
          <w:tcPr>
            <w:tcW w:w="5427"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firstLine="480"/>
              <w:jc w:val="center"/>
              <w:rPr>
                <w:rFonts w:ascii="仿宋" w:hAnsi="仿宋" w:eastAsia="仿宋" w:cs="仿宋"/>
                <w:sz w:val="24"/>
              </w:rPr>
            </w:pPr>
          </w:p>
        </w:tc>
        <w:tc>
          <w:tcPr>
            <w:tcW w:w="41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rPr>
              <w:t>商业</w:t>
            </w:r>
          </w:p>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企业</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科研</w:t>
            </w:r>
          </w:p>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机构</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社会公益组织</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法律服务机构</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其他</w:t>
            </w:r>
          </w:p>
        </w:tc>
        <w:tc>
          <w:tcPr>
            <w:tcW w:w="37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firstLine="480"/>
              <w:jc w:val="center"/>
              <w:rPr>
                <w:rFonts w:ascii="仿宋" w:hAnsi="仿宋" w:eastAsia="仿宋" w:cs="仿宋"/>
                <w:sz w:val="24"/>
              </w:rPr>
            </w:pPr>
          </w:p>
        </w:tc>
      </w:tr>
      <w:tr>
        <w:tblPrEx>
          <w:tblCellMar>
            <w:top w:w="0" w:type="dxa"/>
            <w:left w:w="0" w:type="dxa"/>
            <w:bottom w:w="0" w:type="dxa"/>
            <w:right w:w="0" w:type="dxa"/>
          </w:tblCellMar>
        </w:tblPrEx>
        <w:trPr>
          <w:trHeight w:val="765" w:hRule="atLeast"/>
          <w:jc w:val="center"/>
        </w:trPr>
        <w:tc>
          <w:tcPr>
            <w:tcW w:w="5427"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一、本年新收政府信息公开申请数量</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Theme="minorHAnsi" w:hAnsiTheme="minorHAnsi" w:eastAsiaTheme="minorEastAsia" w:cstheme="minorBidi"/>
                <w:kern w:val="2"/>
                <w:sz w:val="21"/>
                <w:szCs w:val="24"/>
                <w:lang w:val="en-US" w:eastAsia="zh-CN" w:bidi="ar-SA"/>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43" w:hRule="atLeast"/>
          <w:jc w:val="center"/>
        </w:trPr>
        <w:tc>
          <w:tcPr>
            <w:tcW w:w="5427"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二、上年结转政府信息公开申请数量</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43" w:hRule="atLeast"/>
          <w:jc w:val="center"/>
        </w:trPr>
        <w:tc>
          <w:tcPr>
            <w:tcW w:w="97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三、本年度办理结果</w:t>
            </w:r>
          </w:p>
        </w:tc>
        <w:tc>
          <w:tcPr>
            <w:tcW w:w="445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（一）予以公开</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984"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445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（二）部分公开（区分处理的，只计这一情形，不计其他情形）</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675"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（三）不予公开</w:t>
            </w: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1.属于国家秘密</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pacing w:val="1"/>
                <w:w w:val="92"/>
                <w:kern w:val="0"/>
                <w:sz w:val="24"/>
                <w:fitText w:val="2880" w:id="1520244880"/>
              </w:rPr>
              <w:t>2.其他法律行政法规禁止公开</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3.危及“三安全一稳定”</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4.保护第三方合法权益</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5.属于三类内部事务信息</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999"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6.属于四类过程性信息</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1050"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7.属于行政执法案卷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1215"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8.属于行政查询事项</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（四）无法提供</w:t>
            </w: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w w:val="90"/>
                <w:sz w:val="24"/>
              </w:rPr>
              <w:t>1.本机关不掌握相关政府信息</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70"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w w:val="90"/>
                <w:sz w:val="24"/>
              </w:rPr>
              <w:t>2.没有现成信息需要另行制作</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3.补正后申请内容仍不明确</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43" w:hRule="atLeast"/>
          <w:jc w:val="center"/>
        </w:trPr>
        <w:tc>
          <w:tcPr>
            <w:tcW w:w="974" w:type="dxa"/>
            <w:vMerge w:val="restart"/>
            <w:tcBorders>
              <w:top w:val="single" w:color="auto" w:sz="6" w:space="0"/>
              <w:left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（五）不予处理</w:t>
            </w: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1.信访举报投诉类申请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2.重复申请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3.要求提供公开出版物</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4.无正当理由大量反复申请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1071"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5.要求行政机关确认或重新出具已获取信息</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1650"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（六）其他处理</w:t>
            </w: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1.申请人无正当理由逾期不补正、行政机关不再处理其政府信息公开申请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1800"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2.申请人逾期未按收费通知要求缴纳费用、行政机关不再处理其政府信息公开申请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1200"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3.其他</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445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both"/>
              <w:rPr>
                <w:rFonts w:ascii="仿宋" w:hAnsi="仿宋" w:eastAsia="仿宋" w:cs="仿宋"/>
                <w:sz w:val="24"/>
              </w:rPr>
            </w:pPr>
            <w:r>
              <w:rPr>
                <w:rFonts w:hint="eastAsia" w:ascii="仿宋" w:hAnsi="仿宋" w:eastAsia="仿宋" w:cs="仿宋"/>
                <w:sz w:val="24"/>
              </w:rPr>
              <w:t>（七）总计</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58" w:hRule="atLeast"/>
          <w:jc w:val="center"/>
        </w:trPr>
        <w:tc>
          <w:tcPr>
            <w:tcW w:w="5427"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both"/>
              <w:rPr>
                <w:rFonts w:ascii="仿宋" w:hAnsi="仿宋" w:eastAsia="仿宋" w:cs="仿宋"/>
                <w:sz w:val="24"/>
              </w:rPr>
            </w:pPr>
            <w:r>
              <w:rPr>
                <w:rFonts w:hint="eastAsia" w:ascii="仿宋" w:hAnsi="仿宋" w:eastAsia="仿宋" w:cs="仿宋"/>
                <w:sz w:val="24"/>
              </w:rPr>
              <w:t>四、结转下年度继续办理</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bl>
    <w:p>
      <w:pPr>
        <w:spacing w:line="540" w:lineRule="exact"/>
        <w:ind w:left="0" w:leftChars="0" w:firstLine="640" w:firstLineChars="200"/>
        <w:rPr>
          <w:rFonts w:ascii="黑体" w:hAnsi="黑体" w:eastAsia="黑体" w:cs="黑体"/>
          <w:bCs/>
          <w:sz w:val="32"/>
          <w:szCs w:val="32"/>
        </w:rPr>
      </w:pPr>
      <w:r>
        <w:rPr>
          <w:rFonts w:hint="eastAsia" w:ascii="黑体" w:hAnsi="黑体" w:eastAsia="黑体" w:cs="黑体"/>
          <w:bCs/>
          <w:sz w:val="32"/>
          <w:szCs w:val="32"/>
        </w:rPr>
        <w:t>四、政府信息公开行政复议、行政诉讼情况</w:t>
      </w:r>
    </w:p>
    <w:tbl>
      <w:tblPr>
        <w:tblStyle w:val="6"/>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26"/>
        <w:gridCol w:w="854"/>
        <w:gridCol w:w="573"/>
        <w:gridCol w:w="414"/>
        <w:gridCol w:w="533"/>
        <w:gridCol w:w="665"/>
        <w:gridCol w:w="568"/>
        <w:gridCol w:w="647"/>
        <w:gridCol w:w="762"/>
        <w:gridCol w:w="464"/>
        <w:gridCol w:w="414"/>
        <w:gridCol w:w="498"/>
        <w:gridCol w:w="735"/>
        <w:gridCol w:w="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05" w:type="dxa"/>
            <w:gridSpan w:val="5"/>
            <w:shd w:val="clear" w:color="auto" w:fill="auto"/>
            <w:vAlign w:val="center"/>
          </w:tcPr>
          <w:p>
            <w:pPr>
              <w:spacing w:line="540" w:lineRule="exact"/>
              <w:ind w:left="0" w:leftChars="0" w:firstLine="0" w:firstLineChars="0"/>
              <w:jc w:val="center"/>
              <w:rPr>
                <w:rFonts w:ascii="仿宋" w:hAnsi="仿宋" w:eastAsia="仿宋" w:cs="仿宋"/>
                <w:sz w:val="24"/>
              </w:rPr>
            </w:pPr>
            <w:r>
              <w:rPr>
                <w:rFonts w:hint="eastAsia" w:ascii="仿宋" w:hAnsi="仿宋" w:eastAsia="仿宋" w:cs="仿宋"/>
                <w:sz w:val="24"/>
              </w:rPr>
              <w:t>行政复议</w:t>
            </w:r>
          </w:p>
        </w:tc>
        <w:tc>
          <w:tcPr>
            <w:tcW w:w="5687" w:type="dxa"/>
            <w:gridSpan w:val="10"/>
            <w:shd w:val="clear" w:color="auto" w:fill="auto"/>
            <w:vAlign w:val="center"/>
          </w:tcPr>
          <w:p>
            <w:pPr>
              <w:spacing w:line="540" w:lineRule="exact"/>
              <w:ind w:left="0" w:leftChars="0" w:firstLine="0" w:firstLineChars="0"/>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38" w:type="dxa"/>
            <w:vMerge w:val="restart"/>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结果维持</w:t>
            </w:r>
          </w:p>
        </w:tc>
        <w:tc>
          <w:tcPr>
            <w:tcW w:w="726" w:type="dxa"/>
            <w:vMerge w:val="restart"/>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结果纠正</w:t>
            </w:r>
          </w:p>
        </w:tc>
        <w:tc>
          <w:tcPr>
            <w:tcW w:w="854" w:type="dxa"/>
            <w:vMerge w:val="restart"/>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lang w:val="en-US" w:eastAsia="zh-CN"/>
              </w:rPr>
              <w:t>其</w:t>
            </w:r>
            <w:r>
              <w:rPr>
                <w:rFonts w:hint="eastAsia" w:ascii="仿宋" w:hAnsi="仿宋" w:eastAsia="仿宋" w:cs="仿宋"/>
                <w:sz w:val="24"/>
              </w:rPr>
              <w:t>他结果</w:t>
            </w:r>
          </w:p>
        </w:tc>
        <w:tc>
          <w:tcPr>
            <w:tcW w:w="573" w:type="dxa"/>
            <w:vMerge w:val="restart"/>
            <w:shd w:val="clear" w:color="auto" w:fill="auto"/>
            <w:vAlign w:val="center"/>
          </w:tcPr>
          <w:p>
            <w:pPr>
              <w:spacing w:line="540" w:lineRule="exact"/>
              <w:ind w:firstLine="480"/>
              <w:jc w:val="center"/>
              <w:rPr>
                <w:rFonts w:ascii="仿宋" w:hAnsi="仿宋" w:eastAsia="仿宋" w:cs="仿宋"/>
                <w:sz w:val="24"/>
              </w:rPr>
            </w:pPr>
            <w:r>
              <w:rPr>
                <w:rFonts w:hint="eastAsia" w:ascii="仿宋" w:hAnsi="仿宋" w:eastAsia="仿宋" w:cs="仿宋"/>
                <w:sz w:val="24"/>
              </w:rPr>
              <w:t>尚未审结</w:t>
            </w:r>
          </w:p>
        </w:tc>
        <w:tc>
          <w:tcPr>
            <w:tcW w:w="414" w:type="dxa"/>
            <w:vMerge w:val="restart"/>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总计</w:t>
            </w:r>
          </w:p>
        </w:tc>
        <w:tc>
          <w:tcPr>
            <w:tcW w:w="3175" w:type="dxa"/>
            <w:gridSpan w:val="5"/>
            <w:shd w:val="clear" w:color="auto" w:fill="auto"/>
            <w:vAlign w:val="center"/>
          </w:tcPr>
          <w:p>
            <w:pPr>
              <w:spacing w:line="540" w:lineRule="exact"/>
              <w:ind w:left="0" w:leftChars="0" w:firstLine="0" w:firstLineChars="0"/>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512" w:type="dxa"/>
            <w:gridSpan w:val="5"/>
            <w:shd w:val="clear" w:color="auto" w:fill="auto"/>
            <w:vAlign w:val="center"/>
          </w:tcPr>
          <w:p>
            <w:pPr>
              <w:spacing w:line="540" w:lineRule="exact"/>
              <w:ind w:left="0" w:leftChars="0" w:firstLine="0" w:firstLineChars="0"/>
              <w:jc w:val="center"/>
              <w:rPr>
                <w:rFonts w:hint="eastAsia" w:ascii="仿宋" w:hAnsi="仿宋" w:eastAsia="仿宋" w:cs="仿宋"/>
                <w:sz w:val="24"/>
              </w:rPr>
            </w:pPr>
            <w:r>
              <w:rPr>
                <w:rFonts w:hint="eastAsia" w:ascii="仿宋" w:hAnsi="仿宋" w:eastAsia="仿宋" w:cs="仿宋"/>
                <w:color w:val="333333"/>
                <w:sz w:val="24"/>
                <w:shd w:val="clear" w:color="auto" w:fill="FFFFFF"/>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738" w:type="dxa"/>
            <w:vMerge w:val="continue"/>
            <w:shd w:val="clear" w:color="auto" w:fill="auto"/>
            <w:vAlign w:val="center"/>
          </w:tcPr>
          <w:p>
            <w:pPr>
              <w:spacing w:line="540" w:lineRule="exact"/>
              <w:ind w:firstLine="480"/>
              <w:jc w:val="center"/>
              <w:rPr>
                <w:rFonts w:ascii="仿宋" w:hAnsi="仿宋" w:eastAsia="仿宋" w:cs="仿宋"/>
                <w:sz w:val="24"/>
              </w:rPr>
            </w:pPr>
          </w:p>
        </w:tc>
        <w:tc>
          <w:tcPr>
            <w:tcW w:w="726" w:type="dxa"/>
            <w:vMerge w:val="continue"/>
            <w:shd w:val="clear" w:color="auto" w:fill="auto"/>
            <w:vAlign w:val="center"/>
          </w:tcPr>
          <w:p>
            <w:pPr>
              <w:spacing w:line="540" w:lineRule="exact"/>
              <w:ind w:firstLine="480"/>
              <w:jc w:val="center"/>
              <w:rPr>
                <w:rFonts w:ascii="仿宋" w:hAnsi="仿宋" w:eastAsia="仿宋" w:cs="仿宋"/>
                <w:sz w:val="24"/>
              </w:rPr>
            </w:pPr>
          </w:p>
        </w:tc>
        <w:tc>
          <w:tcPr>
            <w:tcW w:w="854" w:type="dxa"/>
            <w:vMerge w:val="continue"/>
            <w:shd w:val="clear" w:color="auto" w:fill="auto"/>
            <w:vAlign w:val="center"/>
          </w:tcPr>
          <w:p>
            <w:pPr>
              <w:spacing w:line="540" w:lineRule="exact"/>
              <w:ind w:firstLine="480"/>
              <w:jc w:val="center"/>
              <w:rPr>
                <w:rFonts w:ascii="仿宋" w:hAnsi="仿宋" w:eastAsia="仿宋" w:cs="仿宋"/>
                <w:sz w:val="24"/>
              </w:rPr>
            </w:pPr>
          </w:p>
        </w:tc>
        <w:tc>
          <w:tcPr>
            <w:tcW w:w="573" w:type="dxa"/>
            <w:vMerge w:val="continue"/>
            <w:shd w:val="clear" w:color="auto" w:fill="auto"/>
            <w:vAlign w:val="center"/>
          </w:tcPr>
          <w:p>
            <w:pPr>
              <w:spacing w:line="540" w:lineRule="exact"/>
              <w:ind w:firstLine="480"/>
              <w:jc w:val="center"/>
              <w:rPr>
                <w:rFonts w:ascii="仿宋" w:hAnsi="仿宋" w:eastAsia="仿宋" w:cs="仿宋"/>
                <w:sz w:val="24"/>
              </w:rPr>
            </w:pPr>
          </w:p>
        </w:tc>
        <w:tc>
          <w:tcPr>
            <w:tcW w:w="414" w:type="dxa"/>
            <w:vMerge w:val="continue"/>
            <w:shd w:val="clear" w:color="auto" w:fill="auto"/>
            <w:vAlign w:val="center"/>
          </w:tcPr>
          <w:p>
            <w:pPr>
              <w:spacing w:line="540" w:lineRule="exact"/>
              <w:ind w:firstLine="480"/>
              <w:jc w:val="center"/>
              <w:rPr>
                <w:rFonts w:ascii="仿宋" w:hAnsi="仿宋" w:eastAsia="仿宋" w:cs="仿宋"/>
                <w:sz w:val="24"/>
              </w:rPr>
            </w:pPr>
          </w:p>
        </w:tc>
        <w:tc>
          <w:tcPr>
            <w:tcW w:w="533" w:type="dxa"/>
            <w:shd w:val="clear" w:color="auto" w:fill="auto"/>
            <w:vAlign w:val="center"/>
          </w:tcPr>
          <w:p>
            <w:pPr>
              <w:spacing w:line="540" w:lineRule="exact"/>
              <w:ind w:left="0" w:leftChars="0" w:firstLine="0" w:firstLineChars="0"/>
              <w:jc w:val="center"/>
              <w:rPr>
                <w:rFonts w:ascii="仿宋" w:hAnsi="仿宋" w:eastAsia="仿宋" w:cs="仿宋"/>
                <w:sz w:val="24"/>
              </w:rPr>
            </w:pPr>
            <w:r>
              <w:rPr>
                <w:rFonts w:hint="eastAsia" w:ascii="仿宋" w:hAnsi="仿宋" w:eastAsia="仿宋" w:cs="仿宋"/>
                <w:sz w:val="24"/>
              </w:rPr>
              <w:t>结果维持</w:t>
            </w:r>
          </w:p>
        </w:tc>
        <w:tc>
          <w:tcPr>
            <w:tcW w:w="665" w:type="dxa"/>
            <w:shd w:val="clear" w:color="auto" w:fill="auto"/>
            <w:vAlign w:val="center"/>
          </w:tcPr>
          <w:p>
            <w:pPr>
              <w:spacing w:line="540" w:lineRule="exact"/>
              <w:ind w:left="0" w:leftChars="0" w:firstLine="0" w:firstLineChars="0"/>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ind w:left="0" w:leftChars="0" w:firstLine="0" w:firstLineChars="0"/>
              <w:jc w:val="center"/>
              <w:rPr>
                <w:rFonts w:ascii="仿宋" w:hAnsi="仿宋" w:eastAsia="仿宋" w:cs="仿宋"/>
                <w:sz w:val="24"/>
              </w:rPr>
            </w:pPr>
            <w:r>
              <w:rPr>
                <w:rFonts w:hint="eastAsia" w:ascii="仿宋" w:hAnsi="仿宋" w:eastAsia="仿宋" w:cs="仿宋"/>
                <w:sz w:val="24"/>
              </w:rPr>
              <w:t>其他结果</w:t>
            </w:r>
          </w:p>
        </w:tc>
        <w:tc>
          <w:tcPr>
            <w:tcW w:w="647" w:type="dxa"/>
            <w:shd w:val="clear" w:color="auto" w:fill="auto"/>
            <w:vAlign w:val="center"/>
          </w:tcPr>
          <w:p>
            <w:pPr>
              <w:spacing w:line="540" w:lineRule="exact"/>
              <w:ind w:left="0" w:leftChars="0" w:firstLine="0" w:firstLineChars="0"/>
              <w:jc w:val="center"/>
              <w:rPr>
                <w:rFonts w:ascii="仿宋" w:hAnsi="仿宋" w:eastAsia="仿宋" w:cs="仿宋"/>
                <w:sz w:val="24"/>
              </w:rPr>
            </w:pPr>
            <w:r>
              <w:rPr>
                <w:rFonts w:hint="eastAsia" w:ascii="仿宋" w:hAnsi="仿宋" w:eastAsia="仿宋" w:cs="仿宋"/>
                <w:sz w:val="24"/>
              </w:rPr>
              <w:t>尚未审结</w:t>
            </w:r>
          </w:p>
        </w:tc>
        <w:tc>
          <w:tcPr>
            <w:tcW w:w="762" w:type="dxa"/>
            <w:shd w:val="clear" w:color="auto" w:fill="auto"/>
            <w:vAlign w:val="center"/>
          </w:tcPr>
          <w:p>
            <w:pPr>
              <w:spacing w:line="540" w:lineRule="exact"/>
              <w:ind w:left="0" w:leftChars="0" w:firstLine="0" w:firstLineChars="0"/>
              <w:jc w:val="center"/>
              <w:rPr>
                <w:rFonts w:ascii="仿宋" w:hAnsi="仿宋" w:eastAsia="仿宋" w:cs="仿宋"/>
                <w:sz w:val="24"/>
              </w:rPr>
            </w:pPr>
            <w:r>
              <w:rPr>
                <w:rFonts w:hint="eastAsia" w:ascii="仿宋" w:hAnsi="仿宋" w:eastAsia="仿宋" w:cs="仿宋"/>
                <w:sz w:val="24"/>
              </w:rPr>
              <w:t>总计</w:t>
            </w:r>
          </w:p>
        </w:tc>
        <w:tc>
          <w:tcPr>
            <w:tcW w:w="464" w:type="dxa"/>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结果维持</w:t>
            </w:r>
          </w:p>
        </w:tc>
        <w:tc>
          <w:tcPr>
            <w:tcW w:w="414" w:type="dxa"/>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结果纠正</w:t>
            </w:r>
          </w:p>
        </w:tc>
        <w:tc>
          <w:tcPr>
            <w:tcW w:w="498" w:type="dxa"/>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其他结果</w:t>
            </w:r>
          </w:p>
        </w:tc>
        <w:tc>
          <w:tcPr>
            <w:tcW w:w="735" w:type="dxa"/>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尚未审结</w:t>
            </w:r>
          </w:p>
        </w:tc>
        <w:tc>
          <w:tcPr>
            <w:tcW w:w="401" w:type="dxa"/>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shd w:val="clear" w:color="auto" w:fill="auto"/>
            <w:vAlign w:val="center"/>
          </w:tcPr>
          <w:p>
            <w:pPr>
              <w:spacing w:line="540" w:lineRule="exact"/>
              <w:ind w:left="0" w:leftChars="0" w:firstLine="0" w:firstLineChars="0"/>
              <w:jc w:val="both"/>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26" w:type="dxa"/>
            <w:shd w:val="clear" w:color="auto" w:fill="auto"/>
            <w:vAlign w:val="center"/>
          </w:tcPr>
          <w:p>
            <w:pPr>
              <w:spacing w:line="540" w:lineRule="exact"/>
              <w:ind w:left="0" w:leftChars="0" w:firstLine="0" w:firstLineChars="0"/>
              <w:jc w:val="both"/>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54" w:type="dxa"/>
            <w:shd w:val="clear" w:color="auto" w:fill="auto"/>
            <w:vAlign w:val="center"/>
          </w:tcPr>
          <w:p>
            <w:pPr>
              <w:spacing w:line="540" w:lineRule="exact"/>
              <w:ind w:left="0" w:leftChars="0" w:firstLine="0" w:firstLineChars="0"/>
              <w:jc w:val="both"/>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73" w:type="dxa"/>
            <w:shd w:val="clear" w:color="auto" w:fill="auto"/>
            <w:vAlign w:val="center"/>
          </w:tcPr>
          <w:p>
            <w:pPr>
              <w:spacing w:line="540" w:lineRule="exact"/>
              <w:ind w:left="0" w:leftChars="0" w:firstLine="0" w:firstLineChars="0"/>
              <w:jc w:val="both"/>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14" w:type="dxa"/>
            <w:shd w:val="clear" w:color="auto" w:fill="auto"/>
            <w:vAlign w:val="center"/>
          </w:tcPr>
          <w:p>
            <w:pPr>
              <w:spacing w:line="540" w:lineRule="exact"/>
              <w:ind w:left="0" w:leftChars="0" w:firstLine="0" w:firstLineChars="0"/>
              <w:jc w:val="both"/>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33" w:type="dxa"/>
            <w:shd w:val="clear" w:color="auto" w:fill="auto"/>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665" w:type="dxa"/>
            <w:shd w:val="clear" w:color="auto" w:fill="auto"/>
            <w:vAlign w:val="center"/>
          </w:tcPr>
          <w:p>
            <w:pPr>
              <w:spacing w:line="540" w:lineRule="exact"/>
              <w:ind w:left="0" w:leftChars="0" w:firstLine="0" w:firstLineChars="0"/>
              <w:jc w:val="both"/>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ind w:left="0" w:leftChars="0" w:firstLine="0" w:firstLineChars="0"/>
              <w:jc w:val="both"/>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47" w:type="dxa"/>
            <w:shd w:val="clear" w:color="auto" w:fill="auto"/>
            <w:vAlign w:val="center"/>
          </w:tcPr>
          <w:p>
            <w:pPr>
              <w:spacing w:line="540" w:lineRule="exact"/>
              <w:ind w:left="0" w:leftChars="0" w:firstLine="0" w:firstLineChars="0"/>
              <w:jc w:val="both"/>
              <w:rPr>
                <w:rFonts w:hint="default" w:asciiTheme="minorHAnsi" w:hAnsiTheme="minorHAnsi" w:eastAsiaTheme="minorEastAsia" w:cstheme="minorBidi"/>
                <w:kern w:val="2"/>
                <w:sz w:val="21"/>
                <w:szCs w:val="24"/>
                <w:lang w:val="en-US" w:eastAsia="zh-CN" w:bidi="ar-SA"/>
              </w:rPr>
            </w:pPr>
            <w:r>
              <w:rPr>
                <w:rFonts w:hint="eastAsia" w:ascii="仿宋" w:hAnsi="仿宋" w:eastAsia="仿宋" w:cs="仿宋"/>
                <w:sz w:val="24"/>
                <w:lang w:val="en-US" w:eastAsia="zh-CN"/>
              </w:rPr>
              <w:t>0</w:t>
            </w:r>
          </w:p>
        </w:tc>
        <w:tc>
          <w:tcPr>
            <w:tcW w:w="762" w:type="dxa"/>
            <w:shd w:val="clear" w:color="auto" w:fill="auto"/>
            <w:vAlign w:val="center"/>
          </w:tcPr>
          <w:p>
            <w:pPr>
              <w:spacing w:line="540" w:lineRule="exact"/>
              <w:ind w:left="0" w:leftChars="0" w:firstLine="0" w:firstLineChars="0"/>
              <w:jc w:val="both"/>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4" w:type="dxa"/>
            <w:shd w:val="clear" w:color="auto" w:fill="auto"/>
            <w:vAlign w:val="center"/>
          </w:tcPr>
          <w:p>
            <w:pPr>
              <w:spacing w:line="540" w:lineRule="exact"/>
              <w:ind w:left="0" w:leftChars="0" w:firstLine="0" w:firstLineChars="0"/>
              <w:jc w:val="both"/>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14" w:type="dxa"/>
            <w:shd w:val="clear" w:color="auto" w:fill="auto"/>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498" w:type="dxa"/>
            <w:shd w:val="clear" w:color="auto" w:fill="auto"/>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735" w:type="dxa"/>
            <w:shd w:val="clear" w:color="auto" w:fill="auto"/>
            <w:vAlign w:val="center"/>
          </w:tcPr>
          <w:p>
            <w:pPr>
              <w:spacing w:line="540" w:lineRule="exact"/>
              <w:ind w:left="0" w:leftChars="0" w:firstLine="0" w:firstLineChars="0"/>
              <w:jc w:val="both"/>
              <w:rPr>
                <w:rFonts w:hint="default"/>
                <w:lang w:val="en-US" w:eastAsia="zh-CN"/>
              </w:rPr>
            </w:pPr>
            <w:r>
              <w:rPr>
                <w:rFonts w:hint="eastAsia" w:ascii="仿宋" w:hAnsi="仿宋" w:eastAsia="仿宋" w:cs="仿宋"/>
                <w:sz w:val="24"/>
                <w:lang w:val="en-US" w:eastAsia="zh-CN"/>
              </w:rPr>
              <w:t>0</w:t>
            </w:r>
          </w:p>
        </w:tc>
        <w:tc>
          <w:tcPr>
            <w:tcW w:w="401" w:type="dxa"/>
            <w:shd w:val="clear" w:color="auto" w:fill="auto"/>
            <w:vAlign w:val="center"/>
          </w:tcPr>
          <w:p>
            <w:pPr>
              <w:spacing w:line="540" w:lineRule="exact"/>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0</w:t>
            </w:r>
          </w:p>
        </w:tc>
      </w:tr>
    </w:tbl>
    <w:p>
      <w:pPr>
        <w:pStyle w:val="5"/>
        <w:widowControl/>
        <w:shd w:val="clear" w:color="auto" w:fill="FFFFFF"/>
        <w:spacing w:beforeAutospacing="0" w:afterAutospacing="0"/>
        <w:ind w:left="0" w:leftChars="0" w:firstLine="640" w:firstLineChars="200"/>
        <w:jc w:val="both"/>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五、存在的主要问题及改进情况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2022年我单位</w:t>
      </w:r>
      <w:r>
        <w:rPr>
          <w:rFonts w:hint="eastAsia" w:ascii="仿宋" w:hAnsi="仿宋" w:eastAsia="仿宋" w:cs="仿宋"/>
          <w:color w:val="333333"/>
          <w:sz w:val="32"/>
          <w:szCs w:val="32"/>
        </w:rPr>
        <w:t>信息公开工作虽然取得了一定成</w:t>
      </w:r>
      <w:r>
        <w:rPr>
          <w:rFonts w:hint="eastAsia" w:ascii="仿宋" w:hAnsi="仿宋" w:eastAsia="仿宋" w:cs="仿宋"/>
          <w:color w:val="333333"/>
          <w:sz w:val="32"/>
          <w:szCs w:val="32"/>
          <w:lang w:val="en-US" w:eastAsia="zh-CN"/>
        </w:rPr>
        <w:t>效</w:t>
      </w:r>
      <w:r>
        <w:rPr>
          <w:rFonts w:hint="eastAsia" w:ascii="仿宋" w:hAnsi="仿宋" w:eastAsia="仿宋" w:cs="仿宋"/>
          <w:color w:val="333333"/>
          <w:sz w:val="32"/>
          <w:szCs w:val="32"/>
        </w:rPr>
        <w:t>，但与社会对</w:t>
      </w:r>
      <w:r>
        <w:rPr>
          <w:rFonts w:hint="eastAsia" w:ascii="仿宋" w:hAnsi="仿宋" w:eastAsia="仿宋" w:cs="仿宋"/>
          <w:color w:val="333333"/>
          <w:sz w:val="32"/>
          <w:szCs w:val="32"/>
          <w:lang w:val="en-US" w:eastAsia="zh-CN"/>
        </w:rPr>
        <w:t>工信科技和数字经济工作信息</w:t>
      </w:r>
      <w:r>
        <w:rPr>
          <w:rFonts w:hint="eastAsia" w:ascii="仿宋" w:hAnsi="仿宋" w:eastAsia="仿宋" w:cs="仿宋"/>
          <w:color w:val="333333"/>
          <w:sz w:val="32"/>
          <w:szCs w:val="32"/>
        </w:rPr>
        <w:t>的</w:t>
      </w:r>
      <w:r>
        <w:rPr>
          <w:rFonts w:hint="eastAsia" w:ascii="仿宋" w:hAnsi="仿宋" w:eastAsia="仿宋" w:cs="仿宋"/>
          <w:color w:val="333333"/>
          <w:sz w:val="32"/>
          <w:szCs w:val="32"/>
          <w:lang w:val="en-US" w:eastAsia="zh-CN"/>
        </w:rPr>
        <w:t>公开</w:t>
      </w:r>
      <w:r>
        <w:rPr>
          <w:rFonts w:hint="eastAsia" w:ascii="仿宋" w:hAnsi="仿宋" w:eastAsia="仿宋" w:cs="仿宋"/>
          <w:color w:val="333333"/>
          <w:sz w:val="32"/>
          <w:szCs w:val="32"/>
        </w:rPr>
        <w:t>需求还存</w:t>
      </w:r>
      <w:r>
        <w:rPr>
          <w:rFonts w:hint="eastAsia" w:ascii="仿宋" w:hAnsi="仿宋" w:eastAsia="仿宋" w:cs="仿宋"/>
          <w:color w:val="333333"/>
          <w:sz w:val="32"/>
          <w:szCs w:val="32"/>
          <w:lang w:val="en-US" w:eastAsia="zh-CN"/>
        </w:rPr>
        <w:t>在一定</w:t>
      </w:r>
      <w:r>
        <w:rPr>
          <w:rFonts w:hint="eastAsia" w:ascii="仿宋" w:hAnsi="仿宋" w:eastAsia="仿宋" w:cs="仿宋"/>
          <w:color w:val="333333"/>
          <w:sz w:val="32"/>
          <w:szCs w:val="32"/>
        </w:rPr>
        <w:t>差距。</w:t>
      </w:r>
      <w:r>
        <w:rPr>
          <w:rFonts w:hint="eastAsia" w:ascii="仿宋" w:hAnsi="仿宋" w:eastAsia="仿宋" w:cs="仿宋"/>
          <w:color w:val="333333"/>
          <w:sz w:val="32"/>
          <w:szCs w:val="32"/>
          <w:lang w:val="en-US" w:eastAsia="zh-CN"/>
        </w:rPr>
        <w:t>通过认真分析，</w:t>
      </w:r>
      <w:r>
        <w:rPr>
          <w:rFonts w:hint="eastAsia" w:ascii="仿宋" w:hAnsi="仿宋" w:eastAsia="仿宋" w:cs="仿宋"/>
          <w:color w:val="333333"/>
          <w:sz w:val="32"/>
          <w:szCs w:val="32"/>
        </w:rPr>
        <w:t>一是</w:t>
      </w:r>
      <w:r>
        <w:rPr>
          <w:rFonts w:hint="eastAsia" w:ascii="仿宋" w:hAnsi="仿宋" w:eastAsia="仿宋" w:cs="仿宋"/>
          <w:color w:val="333333"/>
          <w:sz w:val="32"/>
          <w:szCs w:val="32"/>
          <w:lang w:val="en-US" w:eastAsia="zh-CN"/>
        </w:rPr>
        <w:t>部分信息</w:t>
      </w:r>
      <w:r>
        <w:rPr>
          <w:rFonts w:hint="eastAsia" w:ascii="仿宋" w:hAnsi="仿宋" w:eastAsia="仿宋" w:cs="仿宋"/>
          <w:color w:val="333333"/>
          <w:sz w:val="32"/>
          <w:szCs w:val="32"/>
        </w:rPr>
        <w:t>更新存在不</w:t>
      </w:r>
      <w:r>
        <w:rPr>
          <w:rFonts w:hint="eastAsia" w:ascii="仿宋" w:hAnsi="仿宋" w:eastAsia="仿宋" w:cs="仿宋"/>
          <w:color w:val="333333"/>
          <w:sz w:val="32"/>
          <w:szCs w:val="32"/>
          <w:lang w:val="en-US" w:eastAsia="zh-CN"/>
        </w:rPr>
        <w:t>够</w:t>
      </w:r>
      <w:r>
        <w:rPr>
          <w:rFonts w:hint="eastAsia" w:ascii="仿宋" w:hAnsi="仿宋" w:eastAsia="仿宋" w:cs="仿宋"/>
          <w:color w:val="333333"/>
          <w:sz w:val="32"/>
          <w:szCs w:val="32"/>
        </w:rPr>
        <w:t>及时的</w:t>
      </w:r>
      <w:bookmarkStart w:id="0" w:name="_GoBack"/>
      <w:bookmarkEnd w:id="0"/>
      <w:r>
        <w:rPr>
          <w:rFonts w:hint="eastAsia" w:ascii="仿宋" w:hAnsi="仿宋" w:eastAsia="仿宋" w:cs="仿宋"/>
          <w:color w:val="333333"/>
          <w:sz w:val="32"/>
          <w:szCs w:val="32"/>
        </w:rPr>
        <w:t>情况</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二是公开内容</w:t>
      </w:r>
      <w:r>
        <w:rPr>
          <w:rFonts w:hint="eastAsia" w:ascii="仿宋" w:hAnsi="仿宋" w:eastAsia="仿宋" w:cs="仿宋"/>
          <w:color w:val="333333"/>
          <w:sz w:val="32"/>
          <w:szCs w:val="32"/>
          <w:lang w:val="en-US" w:eastAsia="zh-CN"/>
        </w:rPr>
        <w:t>的类型及内容不够丰富；三是工作人员对信息公开认识不足，专业水平不高。针对上述问题，</w:t>
      </w:r>
      <w:r>
        <w:rPr>
          <w:rFonts w:hint="eastAsia" w:ascii="仿宋" w:hAnsi="仿宋" w:eastAsia="仿宋" w:cs="仿宋"/>
          <w:color w:val="333333"/>
          <w:sz w:val="32"/>
          <w:szCs w:val="32"/>
        </w:rPr>
        <w:t>在今后的工作中，我</w:t>
      </w:r>
      <w:r>
        <w:rPr>
          <w:rFonts w:hint="eastAsia" w:ascii="仿宋" w:hAnsi="仿宋" w:eastAsia="仿宋" w:cs="仿宋"/>
          <w:color w:val="333333"/>
          <w:sz w:val="32"/>
          <w:szCs w:val="32"/>
          <w:lang w:val="en-US" w:eastAsia="zh-CN"/>
        </w:rPr>
        <w:t>单位</w:t>
      </w:r>
      <w:r>
        <w:rPr>
          <w:rFonts w:hint="eastAsia" w:ascii="仿宋" w:hAnsi="仿宋" w:eastAsia="仿宋" w:cs="仿宋"/>
          <w:color w:val="333333"/>
          <w:sz w:val="32"/>
          <w:szCs w:val="32"/>
        </w:rPr>
        <w:t>将着重抓好以下工作：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333333"/>
          <w:sz w:val="32"/>
          <w:szCs w:val="32"/>
          <w:lang w:val="en-US" w:eastAsia="zh-CN"/>
        </w:rPr>
        <w:t>一是设置提醒，及时更新单位信息，确保政务公开时效性。二是拓宽信息公开思路，丰富公开内容，积极探索，针对群众和社会关注的难点、热点的问题，进行主动公开。三是加强队伍建设，开展业务培训，提高工作人员对政府信息公开工作的认识，提升信息公开业务能力。</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firstLine="640"/>
        <w:jc w:val="both"/>
        <w:textAlignment w:val="auto"/>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六、其他需要报告的事项</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firstLine="640"/>
        <w:jc w:val="both"/>
        <w:textAlignment w:val="auto"/>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rPr>
        <w:t>已在</w:t>
      </w:r>
      <w:r>
        <w:rPr>
          <w:rFonts w:hint="eastAsia" w:ascii="仿宋" w:hAnsi="仿宋" w:eastAsia="仿宋" w:cs="仿宋"/>
          <w:color w:val="333333"/>
          <w:sz w:val="32"/>
          <w:szCs w:val="32"/>
          <w:shd w:val="clear" w:color="auto" w:fill="FFFFFF"/>
          <w:lang w:val="en-US" w:eastAsia="zh-CN"/>
        </w:rPr>
        <w:t>单位</w:t>
      </w:r>
      <w:r>
        <w:rPr>
          <w:rFonts w:hint="eastAsia" w:ascii="仿宋" w:hAnsi="仿宋" w:eastAsia="仿宋" w:cs="仿宋"/>
          <w:color w:val="333333"/>
          <w:sz w:val="32"/>
          <w:szCs w:val="32"/>
          <w:shd w:val="clear" w:color="auto" w:fill="FFFFFF"/>
        </w:rPr>
        <w:t>信息公开指南中发布依申请公开收费标准，2022年</w:t>
      </w:r>
      <w:r>
        <w:rPr>
          <w:rFonts w:hint="eastAsia" w:ascii="仿宋" w:hAnsi="仿宋" w:eastAsia="仿宋" w:cs="仿宋"/>
          <w:color w:val="333333"/>
          <w:sz w:val="32"/>
          <w:szCs w:val="32"/>
          <w:shd w:val="clear" w:color="auto" w:fill="FFFFFF"/>
          <w:lang w:val="en-US" w:eastAsia="zh-CN"/>
        </w:rPr>
        <w:t>我单位</w:t>
      </w:r>
      <w:r>
        <w:rPr>
          <w:rFonts w:hint="eastAsia" w:ascii="仿宋" w:hAnsi="仿宋" w:eastAsia="仿宋" w:cs="仿宋"/>
          <w:color w:val="333333"/>
          <w:sz w:val="32"/>
          <w:szCs w:val="32"/>
          <w:shd w:val="clear" w:color="auto" w:fill="FFFFFF"/>
        </w:rPr>
        <w:t>无收取信息处理费情况。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left="0" w:leftChars="0" w:firstLine="320" w:firstLineChars="100"/>
        <w:jc w:val="both"/>
        <w:textAlignment w:val="auto"/>
        <w:rPr>
          <w:rFonts w:hint="default" w:ascii="仿宋" w:hAnsi="仿宋" w:eastAsia="仿宋" w:cs="仿宋"/>
          <w:color w:val="00B0F0"/>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附件：婺源县工业和信息化局2022年政府信息公开工作年度报告.docx</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firstLine="640"/>
        <w:jc w:val="both"/>
        <w:textAlignment w:val="auto"/>
        <w:rPr>
          <w:rFonts w:hint="default" w:ascii="仿宋" w:hAnsi="仿宋" w:eastAsia="仿宋" w:cs="仿宋"/>
          <w:color w:val="FF0000"/>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89943"/>
    <w:multiLevelType w:val="singleLevel"/>
    <w:tmpl w:val="B2A89943"/>
    <w:lvl w:ilvl="0" w:tentative="0">
      <w:start w:val="2"/>
      <w:numFmt w:val="chineseCounting"/>
      <w:suff w:val="nothing"/>
      <w:lvlText w:val="%1、"/>
      <w:lvlJc w:val="left"/>
      <w:rPr>
        <w:rFonts w:hint="eastAsia"/>
      </w:rPr>
    </w:lvl>
  </w:abstractNum>
  <w:abstractNum w:abstractNumId="1">
    <w:nsid w:val="F9E43582"/>
    <w:multiLevelType w:val="singleLevel"/>
    <w:tmpl w:val="F9E43582"/>
    <w:lvl w:ilvl="0" w:tentative="0">
      <w:start w:val="1"/>
      <w:numFmt w:val="chineseCounting"/>
      <w:lvlText w:val="(%1)"/>
      <w:lvlJc w:val="left"/>
      <w:pPr>
        <w:tabs>
          <w:tab w:val="left" w:pos="312"/>
        </w:tabs>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0NzcwMjk4MzJjMTdlNDIwZDcwNWNhZDNlMDI2MGIifQ=="/>
  </w:docVars>
  <w:rsids>
    <w:rsidRoot w:val="002167C3"/>
    <w:rsid w:val="002167C3"/>
    <w:rsid w:val="00300DD2"/>
    <w:rsid w:val="00645E83"/>
    <w:rsid w:val="007C79F7"/>
    <w:rsid w:val="00874A4C"/>
    <w:rsid w:val="00C72EF2"/>
    <w:rsid w:val="00D053DB"/>
    <w:rsid w:val="00FE1280"/>
    <w:rsid w:val="072F4BA5"/>
    <w:rsid w:val="0BD0037E"/>
    <w:rsid w:val="0F42566A"/>
    <w:rsid w:val="0FE32618"/>
    <w:rsid w:val="13CC3B21"/>
    <w:rsid w:val="17534F7D"/>
    <w:rsid w:val="18994334"/>
    <w:rsid w:val="1A62014B"/>
    <w:rsid w:val="1B931963"/>
    <w:rsid w:val="224B441C"/>
    <w:rsid w:val="22923CA7"/>
    <w:rsid w:val="22E26EC9"/>
    <w:rsid w:val="23B06487"/>
    <w:rsid w:val="2480713E"/>
    <w:rsid w:val="25880C6D"/>
    <w:rsid w:val="27FD2EF5"/>
    <w:rsid w:val="2988332B"/>
    <w:rsid w:val="2B1A10CF"/>
    <w:rsid w:val="2F083808"/>
    <w:rsid w:val="424C7E6D"/>
    <w:rsid w:val="4A3577E4"/>
    <w:rsid w:val="4D995A47"/>
    <w:rsid w:val="4E1777FC"/>
    <w:rsid w:val="519D4381"/>
    <w:rsid w:val="566E50F8"/>
    <w:rsid w:val="56857A37"/>
    <w:rsid w:val="5A131B0B"/>
    <w:rsid w:val="5ABA5A4E"/>
    <w:rsid w:val="5B7235AA"/>
    <w:rsid w:val="5BA359BF"/>
    <w:rsid w:val="5FCE6A83"/>
    <w:rsid w:val="5FEB66AA"/>
    <w:rsid w:val="62BC2293"/>
    <w:rsid w:val="641A130C"/>
    <w:rsid w:val="6EB526D3"/>
    <w:rsid w:val="6EC41F3F"/>
    <w:rsid w:val="6FEE41AE"/>
    <w:rsid w:val="73F57932"/>
    <w:rsid w:val="77707769"/>
    <w:rsid w:val="7B03617C"/>
    <w:rsid w:val="7B440FF1"/>
    <w:rsid w:val="7D7C7DE7"/>
    <w:rsid w:val="7E851D4C"/>
    <w:rsid w:val="7F5758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character" w:customStyle="1" w:styleId="10">
    <w:name w:val="hover14"/>
    <w:basedOn w:val="7"/>
    <w:qFormat/>
    <w:uiPriority w:val="0"/>
    <w:rPr>
      <w:shd w:val="clear" w:color="auto" w:fill="929292"/>
    </w:rPr>
  </w:style>
  <w:style w:type="character" w:customStyle="1" w:styleId="11">
    <w:name w:val="article-icon"/>
    <w:basedOn w:val="7"/>
    <w:qFormat/>
    <w:uiPriority w:val="0"/>
  </w:style>
  <w:style w:type="character" w:customStyle="1" w:styleId="12">
    <w:name w:val="页眉 Char"/>
    <w:basedOn w:val="7"/>
    <w:link w:val="4"/>
    <w:qFormat/>
    <w:uiPriority w:val="0"/>
    <w:rPr>
      <w:rFonts w:asciiTheme="minorHAnsi" w:hAnsiTheme="minorHAnsi" w:eastAsiaTheme="minorEastAsia" w:cstheme="minorBidi"/>
      <w:kern w:val="2"/>
      <w:sz w:val="18"/>
      <w:szCs w:val="18"/>
    </w:rPr>
  </w:style>
  <w:style w:type="character" w:customStyle="1" w:styleId="13">
    <w:name w:val="页脚 Char"/>
    <w:basedOn w:val="7"/>
    <w:link w:val="3"/>
    <w:qFormat/>
    <w:uiPriority w:val="0"/>
    <w:rPr>
      <w:rFonts w:asciiTheme="minorHAnsi" w:hAnsiTheme="minorHAnsi" w:eastAsiaTheme="minorEastAsia" w:cstheme="minorBidi"/>
      <w:kern w:val="2"/>
      <w:sz w:val="18"/>
      <w:szCs w:val="18"/>
    </w:rPr>
  </w:style>
  <w:style w:type="character" w:customStyle="1" w:styleId="14">
    <w:name w:val="批注框文本 Char"/>
    <w:basedOn w:val="7"/>
    <w:link w:val="2"/>
    <w:qFormat/>
    <w:uiPriority w:val="0"/>
    <w:rPr>
      <w:rFonts w:asciiTheme="minorHAnsi" w:hAnsiTheme="minorHAnsi" w:eastAsiaTheme="minorEastAsia" w:cstheme="minorBidi"/>
      <w:kern w:val="2"/>
      <w:sz w:val="18"/>
      <w:szCs w:val="18"/>
    </w:rPr>
  </w:style>
  <w:style w:type="paragraph" w:customStyle="1" w:styleId="15">
    <w:name w:val="p"/>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2552</Words>
  <Characters>2692</Characters>
  <Lines>4</Lines>
  <Paragraphs>6</Paragraphs>
  <TotalTime>1</TotalTime>
  <ScaleCrop>false</ScaleCrop>
  <LinksUpToDate>false</LinksUpToDate>
  <CharactersWithSpaces>2692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*^_^*Jenny</cp:lastModifiedBy>
  <dcterms:modified xsi:type="dcterms:W3CDTF">2023-01-30T02:06:09Z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6B1AFA73017B4AE1AE915039DF016A52</vt:lpwstr>
  </property>
</Properties>
</file>