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ind w:firstLine="640"/>
        <w:rPr>
          <w:rFonts w:ascii="仿宋_GB2312" w:hAnsi="宋体" w:eastAsia="仿宋_GB2312" w:cs="宋体"/>
          <w:b/>
          <w:kern w:val="0"/>
          <w:sz w:val="32"/>
          <w:szCs w:val="32"/>
        </w:rPr>
      </w:pPr>
      <w:r>
        <w:rPr>
          <w:rFonts w:hint="eastAsia" w:ascii="仿宋_GB2312" w:hAnsi="宋体" w:eastAsia="仿宋_GB2312" w:cs="宋体"/>
          <w:b/>
          <w:kern w:val="0"/>
          <w:sz w:val="32"/>
          <w:szCs w:val="32"/>
        </w:rPr>
        <w:t>婺源县发改委2021政府信息公开工作年度报告</w:t>
      </w:r>
    </w:p>
    <w:p>
      <w:pPr>
        <w:widowControl/>
        <w:shd w:val="clear" w:color="auto" w:fill="FFFFFF"/>
        <w:ind w:firstLine="640"/>
        <w:rPr>
          <w:rFonts w:ascii="仿宋_GB2312" w:hAnsi="宋体" w:eastAsia="仿宋_GB2312" w:cs="宋体"/>
          <w:kern w:val="0"/>
          <w:sz w:val="32"/>
          <w:szCs w:val="32"/>
        </w:rPr>
      </w:pPr>
    </w:p>
    <w:p>
      <w:pPr>
        <w:widowControl/>
        <w:shd w:val="clear" w:color="auto" w:fill="FFFFFF"/>
        <w:ind w:firstLine="640"/>
        <w:rPr>
          <w:rFonts w:ascii="仿宋_GB2312" w:hAnsi="Calibri" w:eastAsia="仿宋_GB2312" w:cs="宋体"/>
          <w:kern w:val="0"/>
          <w:sz w:val="32"/>
          <w:szCs w:val="32"/>
        </w:rPr>
      </w:pPr>
      <w:r>
        <w:rPr>
          <w:rFonts w:hint="eastAsia" w:ascii="仿宋" w:hAnsi="仿宋" w:eastAsia="仿宋" w:cs="仿宋"/>
          <w:sz w:val="32"/>
          <w:szCs w:val="32"/>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婺源县发改委结合有关统计数据编制。</w:t>
      </w:r>
      <w:r>
        <w:rPr>
          <w:rFonts w:hint="eastAsia" w:ascii="仿宋_GB2312" w:hAnsi="宋体" w:eastAsia="仿宋_GB2312" w:cs="宋体"/>
          <w:kern w:val="0"/>
          <w:sz w:val="32"/>
          <w:szCs w:val="32"/>
        </w:rPr>
        <w:t>本年度报告中所列数据的统计期限自202</w:t>
      </w:r>
      <w:r>
        <w:rPr>
          <w:rFonts w:ascii="仿宋_GB2312" w:hAnsi="宋体" w:eastAsia="仿宋_GB2312" w:cs="宋体"/>
          <w:kern w:val="0"/>
          <w:sz w:val="32"/>
          <w:szCs w:val="32"/>
        </w:rPr>
        <w:t>1</w:t>
      </w:r>
      <w:r>
        <w:rPr>
          <w:rFonts w:hint="eastAsia" w:ascii="仿宋_GB2312" w:hAnsi="宋体" w:eastAsia="仿宋_GB2312" w:cs="宋体"/>
          <w:kern w:val="0"/>
          <w:sz w:val="32"/>
          <w:szCs w:val="32"/>
        </w:rPr>
        <w:t>年1月1日起至202</w:t>
      </w:r>
      <w:r>
        <w:rPr>
          <w:rFonts w:ascii="仿宋_GB2312" w:hAnsi="宋体" w:eastAsia="仿宋_GB2312" w:cs="宋体"/>
          <w:kern w:val="0"/>
          <w:sz w:val="32"/>
          <w:szCs w:val="32"/>
        </w:rPr>
        <w:t>1</w:t>
      </w:r>
      <w:r>
        <w:rPr>
          <w:rFonts w:hint="eastAsia" w:ascii="仿宋_GB2312" w:hAnsi="宋体" w:eastAsia="仿宋_GB2312" w:cs="宋体"/>
          <w:kern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婺源县人民政府网站下载。如对本报告有任何疑问，请与婺源县发改委联系（地址：婺源县蚺城路26号  电话：0793-</w:t>
      </w:r>
      <w:r>
        <w:rPr>
          <w:rFonts w:ascii="仿宋_GB2312" w:hAnsi="宋体" w:eastAsia="仿宋_GB2312" w:cs="宋体"/>
          <w:kern w:val="0"/>
          <w:sz w:val="32"/>
          <w:szCs w:val="32"/>
        </w:rPr>
        <w:t>7351630</w:t>
      </w:r>
      <w:r>
        <w:rPr>
          <w:rFonts w:hint="eastAsia" w:ascii="仿宋_GB2312" w:hAnsi="宋体" w:eastAsia="仿宋_GB2312" w:cs="宋体"/>
          <w:kern w:val="0"/>
          <w:sz w:val="32"/>
          <w:szCs w:val="32"/>
        </w:rPr>
        <w:t>，邮编：</w:t>
      </w:r>
      <w:r>
        <w:rPr>
          <w:rFonts w:ascii="仿宋_GB2312" w:hAnsi="宋体" w:eastAsia="仿宋_GB2312" w:cs="宋体"/>
          <w:kern w:val="0"/>
          <w:sz w:val="32"/>
          <w:szCs w:val="32"/>
        </w:rPr>
        <w:t>333200</w:t>
      </w:r>
      <w:r>
        <w:rPr>
          <w:rFonts w:hint="eastAsia" w:ascii="仿宋_GB2312" w:hAnsi="宋体" w:eastAsia="仿宋_GB2312" w:cs="宋体"/>
          <w:kern w:val="0"/>
          <w:sz w:val="32"/>
          <w:szCs w:val="32"/>
        </w:rPr>
        <w:t>）。</w:t>
      </w:r>
    </w:p>
    <w:p>
      <w:pPr>
        <w:widowControl/>
        <w:shd w:val="clear" w:color="auto" w:fill="FFFFFF"/>
        <w:ind w:firstLine="420"/>
        <w:rPr>
          <w:rFonts w:ascii="仿宋_GB2312" w:hAnsi="Calibri" w:eastAsia="仿宋_GB2312" w:cs="宋体"/>
          <w:kern w:val="0"/>
          <w:sz w:val="32"/>
          <w:szCs w:val="32"/>
        </w:rPr>
      </w:pPr>
      <w:r>
        <w:rPr>
          <w:rFonts w:hint="eastAsia" w:ascii="仿宋_GB2312" w:hAnsi="黑体" w:eastAsia="仿宋_GB2312" w:cs="宋体"/>
          <w:kern w:val="0"/>
          <w:sz w:val="32"/>
          <w:szCs w:val="32"/>
          <w:shd w:val="clear" w:color="auto" w:fill="FFFFFF"/>
        </w:rPr>
        <w:t>一、总体情况</w:t>
      </w:r>
    </w:p>
    <w:p>
      <w:pPr>
        <w:widowControl/>
        <w:shd w:val="clear" w:color="auto" w:fill="FFFFFF"/>
        <w:ind w:firstLine="640"/>
        <w:rPr>
          <w:rFonts w:hint="default" w:ascii="仿宋_GB2312" w:hAnsi="宋体" w:eastAsia="仿宋_GB2312" w:cs="宋体"/>
          <w:kern w:val="0"/>
          <w:sz w:val="32"/>
          <w:szCs w:val="32"/>
        </w:rPr>
      </w:pPr>
      <w:r>
        <w:rPr>
          <w:rFonts w:hint="eastAsia" w:ascii="仿宋_GB2312" w:hAnsi="宋体" w:eastAsia="仿宋_GB2312" w:cs="宋体"/>
          <w:kern w:val="0"/>
          <w:sz w:val="32"/>
          <w:szCs w:val="32"/>
        </w:rPr>
        <w:t>202</w:t>
      </w:r>
      <w:r>
        <w:rPr>
          <w:rFonts w:ascii="仿宋_GB2312" w:hAnsi="宋体" w:eastAsia="仿宋_GB2312" w:cs="宋体"/>
          <w:kern w:val="0"/>
          <w:sz w:val="32"/>
          <w:szCs w:val="32"/>
        </w:rPr>
        <w:t>1</w:t>
      </w:r>
      <w:r>
        <w:rPr>
          <w:rFonts w:hint="eastAsia" w:ascii="仿宋_GB2312" w:hAnsi="宋体" w:eastAsia="仿宋_GB2312" w:cs="宋体"/>
          <w:kern w:val="0"/>
          <w:sz w:val="32"/>
          <w:szCs w:val="32"/>
        </w:rPr>
        <w:t>年婺源县发改委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w:t>
      </w:r>
      <w:r>
        <w:rPr>
          <w:rFonts w:ascii="仿宋_GB2312" w:hAnsi="宋体" w:eastAsia="仿宋_GB2312" w:cs="宋体"/>
          <w:kern w:val="0"/>
          <w:sz w:val="32"/>
          <w:szCs w:val="32"/>
        </w:rPr>
        <w:t>2021年政务公开工作要点的通知</w:t>
      </w:r>
      <w:r>
        <w:rPr>
          <w:rFonts w:hint="eastAsia" w:ascii="仿宋_GB2312" w:hAnsi="宋体" w:eastAsia="仿宋_GB2312" w:cs="宋体"/>
          <w:kern w:val="0"/>
          <w:sz w:val="32"/>
          <w:szCs w:val="32"/>
        </w:rPr>
        <w:t>》（</w:t>
      </w:r>
      <w:r>
        <w:rPr>
          <w:rFonts w:ascii="仿宋_GB2312" w:hAnsi="宋体" w:eastAsia="仿宋_GB2312" w:cs="宋体"/>
          <w:kern w:val="0"/>
          <w:sz w:val="32"/>
          <w:szCs w:val="32"/>
        </w:rPr>
        <w:t>国办发〔2021〕12号</w:t>
      </w:r>
      <w:r>
        <w:rPr>
          <w:rFonts w:hint="eastAsia" w:ascii="仿宋_GB2312" w:hAnsi="宋体" w:eastAsia="仿宋_GB2312" w:cs="宋体"/>
          <w:kern w:val="0"/>
          <w:sz w:val="32"/>
          <w:szCs w:val="32"/>
        </w:rPr>
        <w:t>）的要求。</w:t>
      </w:r>
      <w:bookmarkStart w:id="0" w:name="_GoBack"/>
      <w:r>
        <w:rPr>
          <w:rFonts w:hint="default" w:ascii="仿宋_GB2312" w:hAnsi="宋体" w:eastAsia="仿宋_GB2312" w:cs="宋体"/>
          <w:kern w:val="0"/>
          <w:sz w:val="32"/>
          <w:szCs w:val="32"/>
        </w:rPr>
        <w:t>紧紧围绕</w:t>
      </w:r>
      <w:r>
        <w:rPr>
          <w:rFonts w:hint="eastAsia" w:ascii="仿宋_GB2312" w:hAnsi="宋体" w:eastAsia="仿宋_GB2312" w:cs="宋体"/>
          <w:kern w:val="0"/>
          <w:sz w:val="32"/>
          <w:szCs w:val="32"/>
          <w:lang w:eastAsia="zh-CN"/>
        </w:rPr>
        <w:t>省市县委及政府</w:t>
      </w:r>
      <w:r>
        <w:rPr>
          <w:rFonts w:hint="default" w:ascii="仿宋_GB2312" w:hAnsi="宋体" w:eastAsia="仿宋_GB2312" w:cs="宋体"/>
          <w:kern w:val="0"/>
          <w:sz w:val="32"/>
          <w:szCs w:val="32"/>
        </w:rPr>
        <w:t>中心工作及社会群众关注关切，着力提升政府信息公开质量，推进拓宽政府信息公开渠道，不断增强政府信息公开实效。</w:t>
      </w:r>
      <w:bookmarkEnd w:id="0"/>
    </w:p>
    <w:p>
      <w:pPr>
        <w:widowControl/>
        <w:shd w:val="clear" w:color="auto" w:fill="FFFFFF"/>
        <w:ind w:firstLine="420"/>
        <w:rPr>
          <w:rFonts w:ascii="仿宋_GB2312" w:hAnsi="Calibri" w:eastAsia="仿宋_GB2312" w:cs="宋体"/>
          <w:kern w:val="0"/>
          <w:sz w:val="32"/>
          <w:szCs w:val="32"/>
        </w:rPr>
      </w:pPr>
      <w:r>
        <w:rPr>
          <w:rFonts w:hint="eastAsia" w:ascii="仿宋_GB2312" w:hAnsi="楷体" w:eastAsia="仿宋_GB2312" w:cs="宋体"/>
          <w:kern w:val="0"/>
          <w:sz w:val="32"/>
          <w:szCs w:val="32"/>
          <w:shd w:val="clear" w:color="auto" w:fill="FFFFFF"/>
        </w:rPr>
        <w:t>（一）主动公开</w:t>
      </w:r>
    </w:p>
    <w:p>
      <w:pPr>
        <w:widowControl/>
        <w:shd w:val="clear" w:color="auto" w:fill="FFFFFF"/>
        <w:ind w:firstLine="640"/>
        <w:rPr>
          <w:rFonts w:ascii="仿宋_GB2312" w:hAnsi="Calibri" w:eastAsia="仿宋_GB2312" w:cs="宋体"/>
          <w:kern w:val="0"/>
          <w:sz w:val="32"/>
          <w:szCs w:val="32"/>
        </w:rPr>
      </w:pPr>
      <w:r>
        <w:rPr>
          <w:rFonts w:hint="eastAsia" w:ascii="仿宋_GB2312" w:hAnsi="宋体" w:eastAsia="仿宋_GB2312" w:cs="宋体"/>
          <w:kern w:val="0"/>
          <w:sz w:val="32"/>
          <w:szCs w:val="32"/>
        </w:rPr>
        <w:t>我委信息公开工作严格按照“公开为原则，不公开为例外”的工作要求，妥善处理公开与保密的关系，合理界定信息公开范围，严格做到积极稳妥，及时准确，公开、公正、便民。公开了概况信息、法规文件、发展规划、工作动态、人事信息、财经信息、重大项目、等</w:t>
      </w:r>
      <w:r>
        <w:rPr>
          <w:rFonts w:ascii="仿宋_GB2312" w:hAnsi="宋体" w:eastAsia="仿宋_GB2312" w:cs="宋体"/>
          <w:kern w:val="0"/>
          <w:sz w:val="32"/>
          <w:szCs w:val="32"/>
        </w:rPr>
        <w:t>7</w:t>
      </w:r>
      <w:r>
        <w:rPr>
          <w:rFonts w:hint="eastAsia" w:ascii="仿宋_GB2312" w:hAnsi="宋体" w:eastAsia="仿宋_GB2312" w:cs="宋体"/>
          <w:kern w:val="0"/>
          <w:sz w:val="32"/>
          <w:szCs w:val="32"/>
        </w:rPr>
        <w:t>个类别的政务信息，及时更新政务动态、重点项目建设、商品价格、项目批复、行政事业及涉企收费等信息。截至202</w:t>
      </w:r>
      <w:r>
        <w:rPr>
          <w:rFonts w:ascii="仿宋_GB2312" w:hAnsi="宋体" w:eastAsia="仿宋_GB2312" w:cs="宋体"/>
          <w:kern w:val="0"/>
          <w:sz w:val="32"/>
          <w:szCs w:val="32"/>
        </w:rPr>
        <w:t>1</w:t>
      </w:r>
      <w:r>
        <w:rPr>
          <w:rFonts w:hint="eastAsia" w:ascii="仿宋_GB2312" w:hAnsi="宋体" w:eastAsia="仿宋_GB2312" w:cs="宋体"/>
          <w:kern w:val="0"/>
          <w:sz w:val="32"/>
          <w:szCs w:val="32"/>
        </w:rPr>
        <w:t>年12月31日，本年度政府网站公开政府信息</w:t>
      </w:r>
      <w:r>
        <w:rPr>
          <w:rFonts w:ascii="仿宋_GB2312" w:hAnsi="宋体" w:eastAsia="仿宋_GB2312" w:cs="宋体"/>
          <w:kern w:val="0"/>
          <w:sz w:val="32"/>
          <w:szCs w:val="32"/>
        </w:rPr>
        <w:t>98</w:t>
      </w:r>
      <w:r>
        <w:rPr>
          <w:rFonts w:hint="eastAsia" w:ascii="仿宋_GB2312" w:hAnsi="宋体" w:eastAsia="仿宋_GB2312" w:cs="宋体"/>
          <w:kern w:val="0"/>
          <w:sz w:val="32"/>
          <w:szCs w:val="32"/>
        </w:rPr>
        <w:t>条。</w:t>
      </w:r>
    </w:p>
    <w:p>
      <w:pPr>
        <w:widowControl/>
        <w:shd w:val="clear" w:color="auto" w:fill="FFFFFF"/>
        <w:ind w:firstLine="320"/>
        <w:rPr>
          <w:rFonts w:ascii="仿宋_GB2312" w:hAnsi="Calibri" w:eastAsia="仿宋_GB2312" w:cs="宋体"/>
          <w:kern w:val="0"/>
          <w:sz w:val="32"/>
          <w:szCs w:val="32"/>
        </w:rPr>
      </w:pPr>
      <w:r>
        <w:rPr>
          <w:rFonts w:hint="eastAsia" w:ascii="仿宋_GB2312" w:hAnsi="楷体" w:eastAsia="仿宋_GB2312" w:cs="宋体"/>
          <w:kern w:val="0"/>
          <w:sz w:val="32"/>
          <w:szCs w:val="32"/>
          <w:shd w:val="clear" w:color="auto" w:fill="FFFFFF"/>
        </w:rPr>
        <w:t>（二）依申请公开</w:t>
      </w:r>
    </w:p>
    <w:p>
      <w:pPr>
        <w:widowControl/>
        <w:shd w:val="clear" w:color="auto" w:fill="FFFFFF"/>
        <w:ind w:firstLine="640"/>
        <w:rPr>
          <w:rFonts w:ascii="仿宋_GB2312" w:hAnsi="Calibri" w:eastAsia="仿宋_GB2312" w:cs="宋体"/>
          <w:kern w:val="0"/>
          <w:sz w:val="32"/>
          <w:szCs w:val="32"/>
        </w:rPr>
      </w:pPr>
      <w:r>
        <w:rPr>
          <w:rFonts w:hint="eastAsia" w:ascii="仿宋_GB2312" w:hAnsi="宋体" w:eastAsia="仿宋_GB2312" w:cs="宋体"/>
          <w:kern w:val="0"/>
          <w:sz w:val="32"/>
          <w:szCs w:val="32"/>
        </w:rPr>
        <w:t>截至202</w:t>
      </w:r>
      <w:r>
        <w:rPr>
          <w:rFonts w:ascii="仿宋_GB2312" w:hAnsi="宋体" w:eastAsia="仿宋_GB2312" w:cs="宋体"/>
          <w:kern w:val="0"/>
          <w:sz w:val="32"/>
          <w:szCs w:val="32"/>
        </w:rPr>
        <w:t>1</w:t>
      </w:r>
      <w:r>
        <w:rPr>
          <w:rFonts w:hint="eastAsia" w:ascii="仿宋_GB2312" w:hAnsi="宋体" w:eastAsia="仿宋_GB2312" w:cs="宋体"/>
          <w:kern w:val="0"/>
          <w:sz w:val="32"/>
          <w:szCs w:val="32"/>
        </w:rPr>
        <w:t>年12月31日止，共收到</w:t>
      </w:r>
      <w:r>
        <w:rPr>
          <w:rFonts w:ascii="仿宋_GB2312" w:hAnsi="宋体" w:eastAsia="仿宋_GB2312" w:cs="宋体"/>
          <w:kern w:val="0"/>
          <w:sz w:val="32"/>
          <w:szCs w:val="32"/>
        </w:rPr>
        <w:t>1</w:t>
      </w:r>
      <w:r>
        <w:rPr>
          <w:rFonts w:hint="eastAsia" w:ascii="仿宋_GB2312" w:hAnsi="宋体" w:eastAsia="仿宋_GB2312" w:cs="宋体"/>
          <w:kern w:val="0"/>
          <w:sz w:val="32"/>
          <w:szCs w:val="32"/>
        </w:rPr>
        <w:t>件，其中重复申请0件，涉密信息0件不予公开，0件申请内容不明确，全部按时完成回复。</w:t>
      </w:r>
    </w:p>
    <w:p>
      <w:pPr>
        <w:widowControl/>
        <w:shd w:val="clear" w:color="auto" w:fill="FFFFFF"/>
        <w:ind w:left="420"/>
        <w:rPr>
          <w:rFonts w:ascii="仿宋_GB2312" w:hAnsi="Calibri" w:eastAsia="仿宋_GB2312" w:cs="宋体"/>
          <w:kern w:val="0"/>
          <w:sz w:val="32"/>
          <w:szCs w:val="32"/>
        </w:rPr>
      </w:pPr>
      <w:r>
        <w:rPr>
          <w:rFonts w:hint="eastAsia" w:ascii="仿宋_GB2312" w:hAnsi="楷体" w:eastAsia="仿宋_GB2312" w:cs="宋体"/>
          <w:kern w:val="0"/>
          <w:sz w:val="32"/>
          <w:szCs w:val="32"/>
          <w:shd w:val="clear" w:color="auto" w:fill="FFFFFF"/>
        </w:rPr>
        <w:t>（三）政府信息管理，</w:t>
      </w:r>
    </w:p>
    <w:p>
      <w:pPr>
        <w:widowControl/>
        <w:shd w:val="clear" w:color="auto" w:fill="FFFFFF"/>
        <w:ind w:firstLine="640"/>
        <w:rPr>
          <w:rFonts w:ascii="仿宋_GB2312" w:hAnsi="Calibri" w:eastAsia="仿宋_GB2312" w:cs="宋体"/>
          <w:kern w:val="0"/>
          <w:sz w:val="32"/>
          <w:szCs w:val="32"/>
        </w:rPr>
      </w:pPr>
      <w:r>
        <w:rPr>
          <w:rFonts w:hint="eastAsia" w:ascii="仿宋_GB2312" w:hAnsi="宋体" w:eastAsia="仿宋_GB2312" w:cs="宋体"/>
          <w:kern w:val="0"/>
          <w:sz w:val="32"/>
          <w:szCs w:val="32"/>
        </w:rPr>
        <w:t>1、规范化标准化建设。建立政府信息主动公开工作机制和制度，明确主动公开工作各个环节的职责、程序、公开方式和时限要求。</w:t>
      </w:r>
    </w:p>
    <w:p>
      <w:pPr>
        <w:widowControl/>
        <w:shd w:val="clear" w:color="auto" w:fill="FFFFFF"/>
        <w:ind w:firstLine="640"/>
        <w:rPr>
          <w:rFonts w:ascii="仿宋_GB2312" w:hAnsi="Calibri" w:eastAsia="仿宋_GB2312" w:cs="宋体"/>
          <w:kern w:val="0"/>
          <w:sz w:val="32"/>
          <w:szCs w:val="32"/>
        </w:rPr>
      </w:pPr>
      <w:r>
        <w:rPr>
          <w:rFonts w:hint="eastAsia" w:ascii="仿宋_GB2312" w:hAnsi="宋体" w:eastAsia="仿宋_GB2312" w:cs="宋体"/>
          <w:kern w:val="0"/>
          <w:sz w:val="32"/>
          <w:szCs w:val="32"/>
        </w:rPr>
        <w:t>2、规范信息审核发布机制严格实行审签制度。由科室分管领导对拟上传到门户网站的政务信息进行审核后上传，确保政务信息公开的准确性、规范性、完整性和时效性。</w:t>
      </w:r>
    </w:p>
    <w:p>
      <w:pPr>
        <w:widowControl/>
        <w:shd w:val="clear" w:color="auto" w:fill="FFFFFF"/>
        <w:ind w:firstLine="640"/>
        <w:rPr>
          <w:rFonts w:ascii="仿宋_GB2312" w:hAnsi="Calibri" w:eastAsia="仿宋_GB2312" w:cs="宋体"/>
          <w:kern w:val="0"/>
          <w:sz w:val="32"/>
          <w:szCs w:val="32"/>
        </w:rPr>
      </w:pPr>
      <w:r>
        <w:rPr>
          <w:rFonts w:hint="eastAsia" w:ascii="仿宋_GB2312" w:hAnsi="宋体" w:eastAsia="仿宋_GB2312" w:cs="宋体"/>
          <w:kern w:val="0"/>
          <w:sz w:val="32"/>
          <w:szCs w:val="32"/>
        </w:rPr>
        <w:t>3、规范性文件清理。建立定期清理制度，及时解决规范性文件运行中存在的矛盾和冲突，坚决杜绝规范性文件“依法打架”现象的发生。</w:t>
      </w:r>
    </w:p>
    <w:p>
      <w:pPr>
        <w:widowControl/>
        <w:shd w:val="clear" w:color="auto" w:fill="FFFFFF"/>
        <w:ind w:left="420"/>
        <w:rPr>
          <w:rFonts w:ascii="仿宋_GB2312" w:hAnsi="Calibri" w:eastAsia="仿宋_GB2312" w:cs="宋体"/>
          <w:kern w:val="0"/>
          <w:sz w:val="32"/>
          <w:szCs w:val="32"/>
        </w:rPr>
      </w:pPr>
      <w:r>
        <w:rPr>
          <w:rFonts w:hint="eastAsia" w:ascii="仿宋_GB2312" w:hAnsi="楷体" w:eastAsia="仿宋_GB2312" w:cs="宋体"/>
          <w:kern w:val="0"/>
          <w:sz w:val="32"/>
          <w:szCs w:val="32"/>
          <w:shd w:val="clear" w:color="auto" w:fill="FFFFFF"/>
        </w:rPr>
        <w:t>（四）平台建设</w:t>
      </w:r>
    </w:p>
    <w:p>
      <w:pPr>
        <w:widowControl/>
        <w:shd w:val="clear" w:color="auto" w:fill="FFFFFF"/>
        <w:ind w:firstLine="640"/>
        <w:rPr>
          <w:rFonts w:ascii="仿宋_GB2312" w:hAnsi="Calibri" w:eastAsia="仿宋_GB2312" w:cs="宋体"/>
          <w:kern w:val="0"/>
          <w:sz w:val="32"/>
          <w:szCs w:val="32"/>
        </w:rPr>
      </w:pPr>
      <w:r>
        <w:rPr>
          <w:rFonts w:hint="eastAsia" w:ascii="仿宋_GB2312" w:hAnsi="宋体" w:eastAsia="仿宋_GB2312" w:cs="宋体"/>
          <w:kern w:val="0"/>
          <w:sz w:val="32"/>
          <w:szCs w:val="32"/>
        </w:rPr>
        <w:t>严格按照年度网站绩效考核指标与政务工作要点的要求进行栏目设置，除了网站做好日常信息发布，县发改微信公众号同步发布政务信息。</w:t>
      </w:r>
    </w:p>
    <w:p>
      <w:pPr>
        <w:widowControl/>
        <w:shd w:val="clear" w:color="auto" w:fill="FFFFFF"/>
        <w:ind w:left="420"/>
        <w:rPr>
          <w:rFonts w:ascii="仿宋_GB2312" w:hAnsi="Calibri" w:eastAsia="仿宋_GB2312" w:cs="宋体"/>
          <w:kern w:val="0"/>
          <w:sz w:val="32"/>
          <w:szCs w:val="32"/>
        </w:rPr>
      </w:pPr>
      <w:r>
        <w:rPr>
          <w:rFonts w:hint="eastAsia" w:ascii="仿宋_GB2312" w:hAnsi="楷体" w:eastAsia="仿宋_GB2312" w:cs="宋体"/>
          <w:kern w:val="0"/>
          <w:sz w:val="32"/>
          <w:szCs w:val="32"/>
          <w:shd w:val="clear" w:color="auto" w:fill="FFFFFF"/>
        </w:rPr>
        <w:t>（五）监督保障（工作考核、社会评议和责任追究结果情况</w:t>
      </w:r>
      <w:r>
        <w:rPr>
          <w:rFonts w:hint="eastAsia" w:ascii="仿宋_GB2312" w:hAnsi="宋体" w:eastAsia="仿宋_GB2312" w:cs="宋体"/>
          <w:kern w:val="0"/>
          <w:sz w:val="32"/>
          <w:szCs w:val="32"/>
          <w:shd w:val="clear" w:color="auto" w:fill="FFFFFF"/>
        </w:rPr>
        <w:t>）</w:t>
      </w:r>
    </w:p>
    <w:p>
      <w:pPr>
        <w:widowControl/>
        <w:shd w:val="clear" w:color="auto" w:fill="FFFFFF"/>
        <w:ind w:firstLine="640"/>
        <w:rPr>
          <w:rFonts w:ascii="仿宋_GB2312" w:hAnsi="Calibri" w:eastAsia="仿宋_GB2312" w:cs="宋体"/>
          <w:kern w:val="0"/>
          <w:sz w:val="32"/>
          <w:szCs w:val="32"/>
        </w:rPr>
      </w:pPr>
      <w:r>
        <w:rPr>
          <w:rFonts w:hint="eastAsia" w:ascii="仿宋_GB2312" w:hAnsi="宋体" w:eastAsia="仿宋_GB2312" w:cs="宋体"/>
          <w:kern w:val="0"/>
          <w:sz w:val="32"/>
          <w:szCs w:val="32"/>
        </w:rPr>
        <w:t>1、强化监督机制。广泛听取基层和群众对信息公开工作的意见和要求，充分发挥社会监督作用，确保公开内容的真实性、全面性和有效性。</w:t>
      </w:r>
    </w:p>
    <w:p>
      <w:pPr>
        <w:widowControl/>
        <w:shd w:val="clear" w:color="auto" w:fill="FFFFFF"/>
        <w:ind w:firstLine="640"/>
        <w:rPr>
          <w:rFonts w:ascii="仿宋_GB2312" w:hAnsi="Calibri" w:eastAsia="仿宋_GB2312" w:cs="宋体"/>
          <w:kern w:val="0"/>
          <w:sz w:val="32"/>
          <w:szCs w:val="32"/>
        </w:rPr>
      </w:pPr>
      <w:r>
        <w:rPr>
          <w:rFonts w:hint="eastAsia" w:ascii="仿宋_GB2312" w:hAnsi="宋体" w:eastAsia="仿宋_GB2312" w:cs="宋体"/>
          <w:kern w:val="0"/>
          <w:sz w:val="32"/>
          <w:szCs w:val="32"/>
        </w:rPr>
        <w:t>2、制定政务信息公开工作相关制度。定期对各股室信息公开工作完成情况、信息质量等进行监督考评，采取多种形式对全委政务信息公开工作开展情况进行定期、不定期督促检查，并将结果作为各科室年终绩效考核的重要依据。</w:t>
      </w:r>
    </w:p>
    <w:p>
      <w:pPr>
        <w:widowControl/>
        <w:shd w:val="clear" w:color="auto" w:fill="FFFFFF"/>
        <w:ind w:left="420"/>
        <w:rPr>
          <w:rFonts w:ascii="仿宋_GB2312" w:hAnsi="Calibri" w:eastAsia="仿宋_GB2312" w:cs="宋体"/>
          <w:kern w:val="0"/>
          <w:sz w:val="32"/>
          <w:szCs w:val="32"/>
        </w:rPr>
      </w:pPr>
      <w:r>
        <w:rPr>
          <w:rFonts w:hint="eastAsia" w:ascii="仿宋_GB2312" w:hAnsi="Calibri" w:eastAsia="仿宋_GB2312" w:cs="宋体"/>
          <w:kern w:val="0"/>
          <w:sz w:val="32"/>
          <w:szCs w:val="32"/>
        </w:rPr>
        <w:t> </w:t>
      </w:r>
    </w:p>
    <w:p>
      <w:pPr>
        <w:widowControl/>
        <w:shd w:val="clear" w:color="auto" w:fill="FFFFFF"/>
        <w:spacing w:line="540" w:lineRule="atLeast"/>
        <w:rPr>
          <w:rFonts w:ascii="仿宋_GB2312" w:hAnsi="黑体" w:eastAsia="仿宋_GB2312" w:cs="宋体"/>
          <w:kern w:val="0"/>
          <w:sz w:val="32"/>
          <w:szCs w:val="32"/>
        </w:rPr>
      </w:pPr>
      <w:r>
        <w:rPr>
          <w:rFonts w:hint="eastAsia" w:ascii="仿宋_GB2312" w:hAnsi="黑体" w:eastAsia="仿宋_GB2312" w:cs="宋体"/>
          <w:kern w:val="0"/>
          <w:sz w:val="32"/>
          <w:szCs w:val="32"/>
        </w:rPr>
        <w:t>二、主动公开政府信息情况</w:t>
      </w:r>
    </w:p>
    <w:tbl>
      <w:tblPr>
        <w:tblW w:w="84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91"/>
        <w:gridCol w:w="2173"/>
        <w:gridCol w:w="2025"/>
        <w:gridCol w:w="2295"/>
      </w:tblGrid>
      <w:tr>
        <w:tc>
          <w:tcPr>
            <w:tcW w:w="8484" w:type="dxa"/>
            <w:gridSpan w:val="4"/>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第二十条第（一）项</w:t>
            </w:r>
          </w:p>
        </w:tc>
      </w:tr>
      <w:tr>
        <w:trPr>
          <w:trHeight w:val="546" w:hRule="atLeast"/>
        </w:trPr>
        <w:tc>
          <w:tcPr>
            <w:tcW w:w="1991" w:type="dxa"/>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信息内容</w:t>
            </w:r>
          </w:p>
        </w:tc>
        <w:tc>
          <w:tcPr>
            <w:tcW w:w="2173" w:type="dxa"/>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本年制发件数</w:t>
            </w:r>
          </w:p>
        </w:tc>
        <w:tc>
          <w:tcPr>
            <w:tcW w:w="2025" w:type="dxa"/>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本年废止件数</w:t>
            </w:r>
          </w:p>
        </w:tc>
        <w:tc>
          <w:tcPr>
            <w:tcW w:w="2295" w:type="dxa"/>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现行有效件数</w:t>
            </w:r>
          </w:p>
        </w:tc>
      </w:tr>
      <w:tr>
        <w:tc>
          <w:tcPr>
            <w:tcW w:w="1991" w:type="dxa"/>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规章</w:t>
            </w:r>
          </w:p>
        </w:tc>
        <w:tc>
          <w:tcPr>
            <w:tcW w:w="2173" w:type="dxa"/>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2025" w:type="dxa"/>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2295" w:type="dxa"/>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c>
          <w:tcPr>
            <w:tcW w:w="1991" w:type="dxa"/>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行政规范性文件</w:t>
            </w:r>
          </w:p>
        </w:tc>
        <w:tc>
          <w:tcPr>
            <w:tcW w:w="2173" w:type="dxa"/>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2</w:t>
            </w:r>
          </w:p>
        </w:tc>
        <w:tc>
          <w:tcPr>
            <w:tcW w:w="2025" w:type="dxa"/>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2295" w:type="dxa"/>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2</w:t>
            </w:r>
          </w:p>
        </w:tc>
      </w:tr>
      <w:tr>
        <w:tc>
          <w:tcPr>
            <w:tcW w:w="8484" w:type="dxa"/>
            <w:gridSpan w:val="4"/>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第二十条第（五）项</w:t>
            </w:r>
          </w:p>
        </w:tc>
      </w:tr>
      <w:tr>
        <w:tc>
          <w:tcPr>
            <w:tcW w:w="1991"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信息内容</w:t>
            </w:r>
          </w:p>
        </w:tc>
        <w:tc>
          <w:tcPr>
            <w:tcW w:w="6493" w:type="dxa"/>
            <w:gridSpan w:val="3"/>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本年处理决定数量</w:t>
            </w:r>
          </w:p>
        </w:tc>
      </w:tr>
      <w:tr>
        <w:tc>
          <w:tcPr>
            <w:tcW w:w="1991"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行政许可</w:t>
            </w:r>
          </w:p>
        </w:tc>
        <w:tc>
          <w:tcPr>
            <w:tcW w:w="6493" w:type="dxa"/>
            <w:gridSpan w:val="3"/>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c>
          <w:tcPr>
            <w:tcW w:w="8484" w:type="dxa"/>
            <w:gridSpan w:val="4"/>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第二十条第（六）项</w:t>
            </w:r>
          </w:p>
        </w:tc>
      </w:tr>
      <w:tr>
        <w:tc>
          <w:tcPr>
            <w:tcW w:w="1991"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信息内容</w:t>
            </w:r>
          </w:p>
        </w:tc>
        <w:tc>
          <w:tcPr>
            <w:tcW w:w="6493" w:type="dxa"/>
            <w:gridSpan w:val="3"/>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本年处理决定数量</w:t>
            </w:r>
          </w:p>
        </w:tc>
      </w:tr>
      <w:tr>
        <w:tc>
          <w:tcPr>
            <w:tcW w:w="1991"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行政处罚</w:t>
            </w:r>
          </w:p>
        </w:tc>
        <w:tc>
          <w:tcPr>
            <w:tcW w:w="6493" w:type="dxa"/>
            <w:gridSpan w:val="3"/>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c>
          <w:tcPr>
            <w:tcW w:w="1991"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行政强制</w:t>
            </w:r>
          </w:p>
        </w:tc>
        <w:tc>
          <w:tcPr>
            <w:tcW w:w="6493" w:type="dxa"/>
            <w:gridSpan w:val="3"/>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c>
          <w:tcPr>
            <w:tcW w:w="8484" w:type="dxa"/>
            <w:gridSpan w:val="4"/>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第二十条第（八）项</w:t>
            </w:r>
          </w:p>
        </w:tc>
      </w:tr>
      <w:tr>
        <w:tc>
          <w:tcPr>
            <w:tcW w:w="1991"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信息内容</w:t>
            </w:r>
          </w:p>
        </w:tc>
        <w:tc>
          <w:tcPr>
            <w:tcW w:w="6493" w:type="dxa"/>
            <w:gridSpan w:val="3"/>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本年收费金额（单位：万元）</w:t>
            </w:r>
          </w:p>
        </w:tc>
      </w:tr>
      <w:tr>
        <w:tc>
          <w:tcPr>
            <w:tcW w:w="1991"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行政事业性收费</w:t>
            </w:r>
          </w:p>
        </w:tc>
        <w:tc>
          <w:tcPr>
            <w:tcW w:w="6493" w:type="dxa"/>
            <w:gridSpan w:val="3"/>
            <w:vAlign w:val="top"/>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bl>
    <w:p>
      <w:pPr>
        <w:widowControl/>
        <w:shd w:val="clear" w:color="auto" w:fill="FFFFFF"/>
        <w:ind w:firstLine="640"/>
        <w:rPr>
          <w:rFonts w:ascii="仿宋_GB2312" w:hAnsi="宋体" w:eastAsia="仿宋_GB2312" w:cs="宋体"/>
          <w:kern w:val="0"/>
          <w:sz w:val="32"/>
          <w:szCs w:val="32"/>
        </w:rPr>
      </w:pPr>
    </w:p>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三、收到和处理政府信息公开申请情况</w:t>
      </w:r>
    </w:p>
    <w:tbl>
      <w:tblPr>
        <w:tblW w:w="86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74"/>
        <w:gridCol w:w="1384"/>
        <w:gridCol w:w="3069"/>
        <w:gridCol w:w="413"/>
        <w:gridCol w:w="480"/>
        <w:gridCol w:w="447"/>
        <w:gridCol w:w="440"/>
        <w:gridCol w:w="467"/>
        <w:gridCol w:w="446"/>
        <w:gridCol w:w="519"/>
      </w:tblGrid>
      <w:tr>
        <w:trPr>
          <w:trHeight w:val="543" w:hRule="atLeast"/>
          <w:jc w:val="center"/>
        </w:trPr>
        <w:tc>
          <w:tcPr>
            <w:tcW w:w="5427" w:type="dxa"/>
            <w:gridSpan w:val="3"/>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（本列数据的勾稽关系为：第一项加第二项之和，等于第三项加第四项之和）</w:t>
            </w:r>
          </w:p>
        </w:tc>
        <w:tc>
          <w:tcPr>
            <w:tcW w:w="3212" w:type="dxa"/>
            <w:gridSpan w:val="7"/>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申请人情况</w:t>
            </w:r>
          </w:p>
        </w:tc>
      </w:tr>
      <w:tr>
        <w:trPr>
          <w:trHeight w:val="543" w:hRule="atLeast"/>
          <w:jc w:val="center"/>
        </w:trPr>
        <w:tc>
          <w:tcPr>
            <w:tcW w:w="5427" w:type="dxa"/>
            <w:gridSpan w:val="3"/>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color="auto" w:fill="FFFFFF"/>
              <w:ind w:firstLine="640"/>
              <w:rPr>
                <w:rFonts w:ascii="仿宋_GB2312" w:hAnsi="宋体" w:eastAsia="仿宋_GB2312" w:cs="宋体"/>
                <w:kern w:val="0"/>
                <w:sz w:val="32"/>
                <w:szCs w:val="32"/>
              </w:rPr>
            </w:pPr>
          </w:p>
        </w:tc>
        <w:tc>
          <w:tcPr>
            <w:tcW w:w="413" w:type="dxa"/>
            <w:vMerge w:val="restart"/>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自然人</w:t>
            </w:r>
          </w:p>
        </w:tc>
        <w:tc>
          <w:tcPr>
            <w:tcW w:w="2280"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法人或其他组织</w:t>
            </w:r>
          </w:p>
        </w:tc>
        <w:tc>
          <w:tcPr>
            <w:tcW w:w="519"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总计</w:t>
            </w:r>
          </w:p>
        </w:tc>
      </w:tr>
      <w:tr>
        <w:trPr>
          <w:trHeight w:val="1598" w:hRule="atLeast"/>
          <w:jc w:val="center"/>
        </w:trPr>
        <w:tc>
          <w:tcPr>
            <w:tcW w:w="5427" w:type="dxa"/>
            <w:gridSpan w:val="3"/>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color="auto" w:fill="FFFFFF"/>
              <w:ind w:firstLine="640"/>
              <w:rPr>
                <w:rFonts w:ascii="仿宋_GB2312" w:hAnsi="宋体" w:eastAsia="仿宋_GB2312" w:cs="宋体"/>
                <w:kern w:val="0"/>
                <w:sz w:val="32"/>
                <w:szCs w:val="32"/>
              </w:rPr>
            </w:pPr>
          </w:p>
        </w:tc>
        <w:tc>
          <w:tcPr>
            <w:tcW w:w="413"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4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商业</w:t>
            </w:r>
          </w:p>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企业</w:t>
            </w:r>
          </w:p>
        </w:tc>
        <w:tc>
          <w:tcPr>
            <w:tcW w:w="4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科研</w:t>
            </w:r>
          </w:p>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机构</w:t>
            </w:r>
          </w:p>
        </w:tc>
        <w:tc>
          <w:tcPr>
            <w:tcW w:w="44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社会公益组织</w:t>
            </w:r>
          </w:p>
        </w:tc>
        <w:tc>
          <w:tcPr>
            <w:tcW w:w="4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法律服务机构</w:t>
            </w:r>
          </w:p>
        </w:tc>
        <w:tc>
          <w:tcPr>
            <w:tcW w:w="44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其他</w:t>
            </w:r>
          </w:p>
        </w:tc>
        <w:tc>
          <w:tcPr>
            <w:tcW w:w="51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hd w:val="clear" w:color="auto" w:fill="FFFFFF"/>
              <w:ind w:firstLine="640"/>
              <w:rPr>
                <w:rFonts w:ascii="仿宋_GB2312" w:hAnsi="宋体" w:eastAsia="仿宋_GB2312" w:cs="宋体"/>
                <w:kern w:val="0"/>
                <w:sz w:val="32"/>
                <w:szCs w:val="32"/>
              </w:rPr>
            </w:pPr>
          </w:p>
        </w:tc>
      </w:tr>
      <w:tr>
        <w:trPr>
          <w:trHeight w:val="543" w:hRule="atLeast"/>
          <w:jc w:val="center"/>
        </w:trPr>
        <w:tc>
          <w:tcPr>
            <w:tcW w:w="5427" w:type="dxa"/>
            <w:gridSpan w:val="3"/>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一、本年新收政府信息公开申请数量</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1</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1</w:t>
            </w:r>
          </w:p>
        </w:tc>
      </w:tr>
      <w:tr>
        <w:trPr>
          <w:trHeight w:val="543" w:hRule="atLeast"/>
          <w:jc w:val="center"/>
        </w:trPr>
        <w:tc>
          <w:tcPr>
            <w:tcW w:w="5427" w:type="dxa"/>
            <w:gridSpan w:val="3"/>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二、上年结转政府信息公开申请数量</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restart"/>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三、本年度办理结果</w:t>
            </w:r>
          </w:p>
        </w:tc>
        <w:tc>
          <w:tcPr>
            <w:tcW w:w="4453" w:type="dxa"/>
            <w:gridSpan w:val="2"/>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（一）予以公开</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1</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1</w:t>
            </w:r>
          </w:p>
        </w:tc>
      </w:tr>
      <w:tr>
        <w:trPr>
          <w:trHeight w:val="915"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4453" w:type="dxa"/>
            <w:gridSpan w:val="2"/>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（二）部分公开（区分处理的，只计这一情形，不计其他情形）</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restart"/>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（三）不予公开</w:t>
            </w: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1.属于国家秘密</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914"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2.其他法律行政法规禁止公开</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3.危及“三安全一稳定”</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4.保护第三方合法权益</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5.属于三类内部事务信息</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6.属于四类过程性信息</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7.属于行政执法案卷</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8.属于行政查询事项</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restart"/>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（四）无法提供</w:t>
            </w: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1.本机关不掌握相关政府信息</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70"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2.没有现成信息需要另行制作</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3.补正后申请内容仍不明确</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restart"/>
            <w:tcBorders>
              <w:top w:val="single" w:color="auto" w:sz="6" w:space="0"/>
              <w:left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restart"/>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（五）不予处理</w:t>
            </w: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1.信访举报投诉类申请</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2.重复申请</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3.要求提供公开出版物</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4.无正当理由大量反复申请</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p>
        </w:tc>
      </w:tr>
      <w:tr>
        <w:trPr>
          <w:trHeight w:val="1071"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5.要求行政机关确认或重新出具已获取信息</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1598"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restart"/>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（六）其他处理</w:t>
            </w: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1.申请人无正当理由逾期不补正、行政机关不再处理其政府信息公开申请</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1598"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2.申请人逾期未按收费通知要求缴纳费用、行政机关不再处理其政府信息公开申请</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138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306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3.其他</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hint="eastAsia" w:ascii="仿宋_GB2312" w:hAnsi="宋体" w:eastAsia="仿宋_GB2312" w:cs="宋体"/>
                <w:kern w:val="0"/>
                <w:sz w:val="32"/>
                <w:szCs w:val="32"/>
              </w:rPr>
            </w:pPr>
            <w:r>
              <w:rPr>
                <w:rFonts w:hint="eastAsia" w:ascii="仿宋_GB2312" w:hAnsi="宋体" w:eastAsia="仿宋_GB2312" w:cs="宋体"/>
                <w:kern w:val="0"/>
                <w:sz w:val="32"/>
                <w:szCs w:val="32"/>
              </w:rPr>
              <w:t>0</w:t>
            </w:r>
          </w:p>
        </w:tc>
      </w:tr>
      <w:tr>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ind w:firstLine="640"/>
              <w:rPr>
                <w:rFonts w:ascii="仿宋_GB2312" w:hAnsi="宋体" w:eastAsia="仿宋_GB2312" w:cs="宋体"/>
                <w:kern w:val="0"/>
                <w:sz w:val="32"/>
                <w:szCs w:val="32"/>
              </w:rPr>
            </w:pPr>
          </w:p>
        </w:tc>
        <w:tc>
          <w:tcPr>
            <w:tcW w:w="4453" w:type="dxa"/>
            <w:gridSpan w:val="2"/>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（七）总计</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ascii="仿宋_GB2312" w:hAnsi="宋体" w:eastAsia="仿宋_GB2312" w:cs="宋体"/>
                <w:kern w:val="0"/>
                <w:sz w:val="32"/>
                <w:szCs w:val="32"/>
              </w:rPr>
              <w:t>1</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1</w:t>
            </w:r>
          </w:p>
        </w:tc>
      </w:tr>
      <w:tr>
        <w:trPr>
          <w:trHeight w:val="558" w:hRule="atLeast"/>
          <w:jc w:val="center"/>
        </w:trPr>
        <w:tc>
          <w:tcPr>
            <w:tcW w:w="5427" w:type="dxa"/>
            <w:gridSpan w:val="3"/>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四、结转下年度继续办理</w:t>
            </w:r>
          </w:p>
        </w:tc>
        <w:tc>
          <w:tcPr>
            <w:tcW w:w="413"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8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0"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7"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46"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19" w:type="dxa"/>
            <w:tcBorders>
              <w:top w:val="single" w:color="auto" w:sz="6" w:space="0"/>
              <w:left w:val="single" w:color="auto" w:sz="6" w:space="0"/>
              <w:bottom w:val="single" w:color="auto" w:sz="6" w:space="0"/>
              <w:right w:val="single" w:color="auto" w:sz="6" w:space="0"/>
            </w:tcBorders>
            <w:tcMar>
              <w:top w:w="0" w:type="dxa"/>
              <w:left w:w="60" w:type="dxa"/>
              <w:bottom w:w="0" w:type="dxa"/>
              <w:right w:w="60" w:type="dxa"/>
            </w:tcMar>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bl>
    <w:p>
      <w:pPr>
        <w:widowControl/>
        <w:shd w:val="clear" w:color="auto" w:fill="FFFFFF"/>
        <w:ind w:firstLine="640"/>
        <w:rPr>
          <w:rFonts w:ascii="仿宋_GB2312" w:hAnsi="宋体" w:eastAsia="仿宋_GB2312" w:cs="宋体"/>
          <w:kern w:val="0"/>
          <w:sz w:val="32"/>
          <w:szCs w:val="32"/>
        </w:rPr>
      </w:pPr>
    </w:p>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四、政府信息公开行政复议、行政诉讼情况</w:t>
      </w:r>
    </w:p>
    <w:tbl>
      <w:tblPr>
        <w:tblW w:w="8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38"/>
        <w:gridCol w:w="726"/>
        <w:gridCol w:w="854"/>
        <w:gridCol w:w="573"/>
        <w:gridCol w:w="414"/>
        <w:gridCol w:w="533"/>
        <w:gridCol w:w="665"/>
        <w:gridCol w:w="568"/>
        <w:gridCol w:w="647"/>
        <w:gridCol w:w="762"/>
        <w:gridCol w:w="464"/>
        <w:gridCol w:w="414"/>
        <w:gridCol w:w="498"/>
        <w:gridCol w:w="735"/>
        <w:gridCol w:w="401"/>
      </w:tblGrid>
      <w:tr>
        <w:trPr>
          <w:trHeight w:val="350" w:hRule="atLeast"/>
        </w:trPr>
        <w:tc>
          <w:tcPr>
            <w:tcW w:w="3305" w:type="dxa"/>
            <w:gridSpan w:val="5"/>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行政复议</w:t>
            </w:r>
          </w:p>
        </w:tc>
        <w:tc>
          <w:tcPr>
            <w:tcW w:w="5687" w:type="dxa"/>
            <w:gridSpan w:val="10"/>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行政诉讼</w:t>
            </w:r>
          </w:p>
        </w:tc>
      </w:tr>
      <w:tr>
        <w:trPr>
          <w:trHeight w:val="370" w:hRule="atLeast"/>
        </w:trPr>
        <w:tc>
          <w:tcPr>
            <w:tcW w:w="738" w:type="dxa"/>
            <w:vMerge w:val="restart"/>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726" w:type="dxa"/>
            <w:vMerge w:val="restart"/>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854" w:type="dxa"/>
            <w:vMerge w:val="restart"/>
            <w:vAlign w:val="center"/>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其他结果</w:t>
            </w:r>
          </w:p>
        </w:tc>
        <w:tc>
          <w:tcPr>
            <w:tcW w:w="573" w:type="dxa"/>
            <w:vMerge w:val="restart"/>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414" w:type="dxa"/>
            <w:vMerge w:val="restart"/>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总计</w:t>
            </w:r>
          </w:p>
        </w:tc>
        <w:tc>
          <w:tcPr>
            <w:tcW w:w="3175" w:type="dxa"/>
            <w:gridSpan w:val="5"/>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未经复议直接起诉</w:t>
            </w:r>
          </w:p>
        </w:tc>
        <w:tc>
          <w:tcPr>
            <w:tcW w:w="2512" w:type="dxa"/>
            <w:gridSpan w:val="5"/>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复议后起诉</w:t>
            </w:r>
          </w:p>
        </w:tc>
      </w:tr>
      <w:tr>
        <w:trPr>
          <w:trHeight w:val="1610" w:hRule="atLeast"/>
        </w:trPr>
        <w:tc>
          <w:tcPr>
            <w:tcW w:w="738" w:type="dxa"/>
            <w:vMerge w:val="continue"/>
            <w:vAlign w:val="center"/>
          </w:tcPr>
          <w:p>
            <w:pPr>
              <w:widowControl/>
              <w:shd w:val="clear" w:color="auto" w:fill="FFFFFF"/>
              <w:ind w:firstLine="640"/>
              <w:rPr>
                <w:rFonts w:ascii="仿宋_GB2312" w:hAnsi="宋体" w:eastAsia="仿宋_GB2312" w:cs="宋体"/>
                <w:kern w:val="0"/>
                <w:sz w:val="32"/>
                <w:szCs w:val="32"/>
              </w:rPr>
            </w:pPr>
          </w:p>
        </w:tc>
        <w:tc>
          <w:tcPr>
            <w:tcW w:w="726" w:type="dxa"/>
            <w:vMerge w:val="continue"/>
            <w:vAlign w:val="center"/>
          </w:tcPr>
          <w:p>
            <w:pPr>
              <w:widowControl/>
              <w:shd w:val="clear" w:color="auto" w:fill="FFFFFF"/>
              <w:ind w:firstLine="640"/>
              <w:rPr>
                <w:rFonts w:ascii="仿宋_GB2312" w:hAnsi="宋体" w:eastAsia="仿宋_GB2312" w:cs="宋体"/>
                <w:kern w:val="0"/>
                <w:sz w:val="32"/>
                <w:szCs w:val="32"/>
              </w:rPr>
            </w:pPr>
          </w:p>
        </w:tc>
        <w:tc>
          <w:tcPr>
            <w:tcW w:w="854" w:type="dxa"/>
            <w:vMerge w:val="continue"/>
            <w:vAlign w:val="center"/>
          </w:tcPr>
          <w:p>
            <w:pPr>
              <w:widowControl/>
              <w:shd w:val="clear" w:color="auto" w:fill="FFFFFF"/>
              <w:ind w:firstLine="640"/>
              <w:rPr>
                <w:rFonts w:ascii="仿宋_GB2312" w:hAnsi="宋体" w:eastAsia="仿宋_GB2312" w:cs="宋体"/>
                <w:kern w:val="0"/>
                <w:sz w:val="32"/>
                <w:szCs w:val="32"/>
              </w:rPr>
            </w:pPr>
          </w:p>
        </w:tc>
        <w:tc>
          <w:tcPr>
            <w:tcW w:w="573" w:type="dxa"/>
            <w:vMerge w:val="continue"/>
            <w:vAlign w:val="center"/>
          </w:tcPr>
          <w:p>
            <w:pPr>
              <w:widowControl/>
              <w:shd w:val="clear" w:color="auto" w:fill="FFFFFF"/>
              <w:ind w:firstLine="640"/>
              <w:rPr>
                <w:rFonts w:ascii="仿宋_GB2312" w:hAnsi="宋体" w:eastAsia="仿宋_GB2312" w:cs="宋体"/>
                <w:kern w:val="0"/>
                <w:sz w:val="32"/>
                <w:szCs w:val="32"/>
              </w:rPr>
            </w:pPr>
          </w:p>
        </w:tc>
        <w:tc>
          <w:tcPr>
            <w:tcW w:w="414" w:type="dxa"/>
            <w:vMerge w:val="continue"/>
            <w:vAlign w:val="center"/>
          </w:tcPr>
          <w:p>
            <w:pPr>
              <w:widowControl/>
              <w:shd w:val="clear" w:color="auto" w:fill="FFFFFF"/>
              <w:ind w:firstLine="640"/>
              <w:rPr>
                <w:rFonts w:ascii="仿宋_GB2312" w:hAnsi="宋体" w:eastAsia="仿宋_GB2312" w:cs="宋体"/>
                <w:kern w:val="0"/>
                <w:sz w:val="32"/>
                <w:szCs w:val="32"/>
              </w:rPr>
            </w:pPr>
          </w:p>
        </w:tc>
        <w:tc>
          <w:tcPr>
            <w:tcW w:w="533" w:type="dxa"/>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665" w:type="dxa"/>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568" w:type="dxa"/>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其他结果</w:t>
            </w:r>
          </w:p>
        </w:tc>
        <w:tc>
          <w:tcPr>
            <w:tcW w:w="647" w:type="dxa"/>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762" w:type="dxa"/>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总计</w:t>
            </w:r>
          </w:p>
        </w:tc>
        <w:tc>
          <w:tcPr>
            <w:tcW w:w="464" w:type="dxa"/>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414" w:type="dxa"/>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498" w:type="dxa"/>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其他结果</w:t>
            </w:r>
          </w:p>
        </w:tc>
        <w:tc>
          <w:tcPr>
            <w:tcW w:w="735" w:type="dxa"/>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401" w:type="dxa"/>
            <w:vAlign w:val="center"/>
          </w:tcPr>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总计</w:t>
            </w:r>
          </w:p>
        </w:tc>
      </w:tr>
      <w:tr>
        <w:tc>
          <w:tcPr>
            <w:tcW w:w="738"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726"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854"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73"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14"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33"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665"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568"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647"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762"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64"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14"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98"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735"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c>
          <w:tcPr>
            <w:tcW w:w="401" w:type="dxa"/>
            <w:vAlign w:val="top"/>
          </w:tcPr>
          <w:p>
            <w:pPr>
              <w:widowControl/>
              <w:shd w:val="clear" w:color="auto" w:fill="FFFFFF"/>
              <w:rPr>
                <w:rFonts w:ascii="仿宋_GB2312" w:hAnsi="宋体" w:eastAsia="仿宋_GB2312" w:cs="宋体"/>
                <w:kern w:val="0"/>
                <w:sz w:val="32"/>
                <w:szCs w:val="32"/>
              </w:rPr>
            </w:pPr>
            <w:r>
              <w:rPr>
                <w:rFonts w:hint="eastAsia" w:ascii="仿宋_GB2312" w:hAnsi="宋体" w:eastAsia="仿宋_GB2312" w:cs="宋体"/>
                <w:kern w:val="0"/>
                <w:sz w:val="32"/>
                <w:szCs w:val="32"/>
              </w:rPr>
              <w:t>0</w:t>
            </w:r>
          </w:p>
        </w:tc>
      </w:tr>
    </w:tbl>
    <w:p>
      <w:pPr>
        <w:widowControl/>
        <w:shd w:val="clear" w:color="auto" w:fill="FFFFFF"/>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hd w:val="clear" w:color="auto" w:fill="FFFFFF"/>
        <w:ind w:firstLine="420"/>
        <w:rPr>
          <w:rFonts w:ascii="仿宋_GB2312" w:hAnsi="Calibri" w:eastAsia="仿宋_GB2312" w:cs="宋体"/>
          <w:kern w:val="0"/>
          <w:sz w:val="32"/>
          <w:szCs w:val="32"/>
        </w:rPr>
      </w:pPr>
      <w:r>
        <w:rPr>
          <w:rFonts w:hint="eastAsia" w:ascii="仿宋_GB2312" w:hAnsi="黑体" w:eastAsia="仿宋_GB2312" w:cs="宋体"/>
          <w:kern w:val="0"/>
          <w:sz w:val="32"/>
          <w:szCs w:val="32"/>
          <w:shd w:val="clear" w:color="auto" w:fill="FFFFFF"/>
        </w:rPr>
        <w:t>五、存在的主要问题及改进情况</w:t>
      </w:r>
    </w:p>
    <w:p>
      <w:pPr>
        <w:widowControl/>
        <w:shd w:val="clear" w:color="auto" w:fill="FFFFFF"/>
        <w:ind w:firstLine="640"/>
        <w:rPr>
          <w:rFonts w:ascii="仿宋_GB2312" w:hAnsi="黑体" w:eastAsia="仿宋_GB2312" w:cs="宋体"/>
          <w:kern w:val="0"/>
          <w:sz w:val="32"/>
          <w:szCs w:val="32"/>
          <w:shd w:val="clear" w:color="auto" w:fill="FFFFFF"/>
        </w:rPr>
      </w:pPr>
      <w:r>
        <w:rPr>
          <w:rFonts w:hint="eastAsia" w:ascii="仿宋_GB2312" w:hAnsi="黑体" w:eastAsia="仿宋_GB2312" w:cs="宋体"/>
          <w:kern w:val="0"/>
          <w:sz w:val="32"/>
          <w:szCs w:val="32"/>
          <w:shd w:val="clear" w:color="auto" w:fill="FFFFFF"/>
        </w:rPr>
        <w:t xml:space="preserve">我单位信息公开工作虽然取得了一定成绩，但与社会对发改委的公开需求还存差距。通过认真分析，一是信息更新存在不及时的情况，二是公开内容的类型及内容不够丰富，三是队伍建设薄弱。 </w:t>
      </w:r>
    </w:p>
    <w:p>
      <w:pPr>
        <w:pStyle w:val="3"/>
        <w:widowControl/>
        <w:shd w:val="clear" w:color="auto" w:fill="FFFFFF"/>
        <w:spacing w:beforeAutospacing="0" w:afterAutospacing="0" w:line="510" w:lineRule="atLeast"/>
        <w:ind w:firstLine="620"/>
        <w:jc w:val="both"/>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针对上述问题，在今后的工作中，我单位将着重抓好以下工作：一是加强队伍建设，开展业务能力提升培训，专人专岗；二是加强政务公开工作相关文件的学习，拓展信息公开思路，采用多样化的形式发布政策解读，增加专家座谈会，图文解读等内容.</w:t>
      </w:r>
    </w:p>
    <w:p>
      <w:pPr>
        <w:widowControl/>
        <w:shd w:val="clear" w:color="auto" w:fill="FFFFFF"/>
        <w:ind w:firstLine="420"/>
        <w:rPr>
          <w:rFonts w:ascii="仿宋_GB2312" w:hAnsi="Calibri" w:eastAsia="仿宋_GB2312" w:cs="宋体"/>
          <w:kern w:val="0"/>
          <w:sz w:val="32"/>
          <w:szCs w:val="32"/>
        </w:rPr>
      </w:pPr>
      <w:r>
        <w:rPr>
          <w:rFonts w:hint="eastAsia" w:ascii="仿宋_GB2312" w:hAnsi="黑体" w:eastAsia="仿宋_GB2312" w:cs="宋体"/>
          <w:kern w:val="0"/>
          <w:sz w:val="32"/>
          <w:szCs w:val="32"/>
          <w:shd w:val="clear" w:color="auto" w:fill="FFFFFF"/>
        </w:rPr>
        <w:t>六、其他需要报告的事项</w:t>
      </w:r>
    </w:p>
    <w:p>
      <w:pPr>
        <w:widowControl/>
        <w:shd w:val="clear" w:color="auto" w:fill="FFFFFF"/>
        <w:ind w:firstLine="640"/>
        <w:rPr>
          <w:rFonts w:ascii="仿宋_GB2312" w:hAnsi="Calibri" w:eastAsia="仿宋_GB2312" w:cs="宋体"/>
          <w:kern w:val="0"/>
          <w:sz w:val="32"/>
          <w:szCs w:val="32"/>
        </w:rPr>
      </w:pPr>
      <w:r>
        <w:rPr>
          <w:rFonts w:hint="eastAsia" w:ascii="仿宋" w:hAnsi="仿宋" w:eastAsia="仿宋" w:cs="仿宋"/>
          <w:sz w:val="32"/>
          <w:szCs w:val="32"/>
          <w:shd w:val="clear" w:color="auto" w:fill="FFFFFF"/>
        </w:rPr>
        <w:t>已在单位信息公开指南中发布依申请公开收费标准，202</w:t>
      </w: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年我单位无收取信息处理费情况。</w:t>
      </w:r>
      <w:r>
        <w:rPr>
          <w:rFonts w:hint="eastAsia" w:ascii="仿宋_GB2312" w:hAnsi="Calibri" w:eastAsia="仿宋_GB2312" w:cs="宋体"/>
          <w:kern w:val="0"/>
          <w:sz w:val="32"/>
          <w:szCs w:val="32"/>
        </w:rPr>
        <w:t> </w:t>
      </w:r>
    </w:p>
    <w:p>
      <w:pPr>
        <w:rPr>
          <w:rFonts w:ascii="仿宋_GB2312" w:eastAsia="仿宋_GB2312"/>
          <w:sz w:val="32"/>
          <w:szCs w:val="32"/>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等线" w:hAnsi="等线" w:eastAsia="等线" w:cs="黑体"/>
      <w:kern w:val="2"/>
      <w:sz w:val="21"/>
      <w:szCs w:val="22"/>
      <w:lang w:val="en-US" w:eastAsia="zh-CN" w:bidi="ar-SA"/>
    </w:rPr>
  </w:style>
  <w:style w:type="character" w:default="1" w:styleId="2">
    <w:name w:val="Default Paragraph Font"/>
  </w:style>
  <w:style w:type="paragraph" w:customStyle="1" w:styleId="3">
    <w:name w:val="Normal (Web)"/>
    <w:basedOn w:val="1"/>
    <w:pPr>
      <w:spacing w:beforeAutospacing="1" w:afterAutospacing="1"/>
      <w:ind w:firstLine="200" w:firstLineChars="200"/>
      <w:jc w:val="left"/>
    </w:pPr>
    <w:rPr>
      <w:rFonts w:cs="Times New Roman"/>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439</Words>
  <Characters>2507</Characters>
  <Lines>20</Lines>
  <Paragraphs>5</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2021-02-05T11:13:00Z</dcterms:created>
  <dc:creator>婺源县发改委收发员</dc:creator>
  <dcterms:modified xsi:type="dcterms:W3CDTF">2023-12-27T15:27:35Z</dcterms:modified>
  <dc:title>婺源县发改委收发员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