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widowControl/>
        <w:shd w:val="clear" w:color="auto" w:fill="FFFFFF"/>
        <w:spacing w:beforeAutospacing="0" w:afterAutospacing="0"/>
        <w:ind w:left="0" w:leftChars="0" w:firstLine="0" w:firstLineChars="0"/>
        <w:jc w:val="center"/>
        <w:rPr>
          <w:rFonts w:hint="eastAsia" w:ascii="黑体" w:hAnsi="黑体" w:eastAsia="黑体" w:cs="黑体"/>
          <w:b w:val="0"/>
          <w:bCs/>
          <w:color w:val="333333"/>
          <w:sz w:val="44"/>
          <w:szCs w:val="44"/>
          <w:shd w:val="clear" w:color="auto" w:fill="FFFFFF"/>
        </w:rPr>
      </w:pPr>
      <w:r>
        <w:rPr>
          <w:rFonts w:hint="eastAsia" w:ascii="黑体" w:hAnsi="黑体" w:eastAsia="黑体" w:cs="黑体"/>
          <w:b w:val="0"/>
          <w:bCs/>
          <w:color w:val="333333"/>
          <w:sz w:val="44"/>
          <w:szCs w:val="44"/>
          <w:shd w:val="clear" w:color="auto" w:fill="FFFFFF"/>
          <w:lang w:eastAsia="zh-CN"/>
        </w:rPr>
        <w:t>婺源县城市管理局</w:t>
      </w:r>
      <w:r>
        <w:rPr>
          <w:rFonts w:hint="eastAsia" w:ascii="黑体" w:hAnsi="黑体" w:eastAsia="黑体" w:cs="黑体"/>
          <w:b w:val="0"/>
          <w:bCs/>
          <w:color w:val="333333"/>
          <w:sz w:val="44"/>
          <w:szCs w:val="44"/>
          <w:shd w:val="clear" w:color="auto" w:fill="FFFFFF"/>
        </w:rPr>
        <w:t>2022年政府信息公开</w:t>
      </w:r>
    </w:p>
    <w:p>
      <w:pPr>
        <w:pStyle w:val="10"/>
        <w:widowControl/>
        <w:shd w:val="clear" w:color="auto" w:fill="FFFFFF"/>
        <w:spacing w:beforeAutospacing="0" w:afterAutospacing="0"/>
        <w:ind w:left="0" w:leftChars="0" w:firstLine="0" w:firstLineChars="0"/>
        <w:jc w:val="center"/>
        <w:rPr>
          <w:rFonts w:hint="eastAsia" w:ascii="黑体" w:hAnsi="黑体" w:eastAsia="黑体" w:cs="黑体"/>
          <w:b w:val="0"/>
          <w:bCs/>
          <w:color w:val="333333"/>
          <w:sz w:val="44"/>
          <w:szCs w:val="44"/>
        </w:rPr>
      </w:pPr>
      <w:r>
        <w:rPr>
          <w:rFonts w:hint="eastAsia" w:ascii="黑体" w:hAnsi="黑体" w:eastAsia="黑体" w:cs="黑体"/>
          <w:b w:val="0"/>
          <w:bCs/>
          <w:color w:val="333333"/>
          <w:sz w:val="44"/>
          <w:szCs w:val="44"/>
          <w:shd w:val="clear" w:color="auto" w:fill="FFFFFF"/>
        </w:rPr>
        <w:t>工作年度报告</w:t>
      </w:r>
    </w:p>
    <w:p>
      <w:pPr>
        <w:pStyle w:val="10"/>
        <w:widowControl/>
        <w:shd w:val="clear" w:color="auto" w:fill="FFFFFF"/>
        <w:spacing w:beforeAutospacing="0" w:afterAutospacing="0"/>
        <w:ind w:firstLine="640"/>
        <w:jc w:val="both"/>
        <w:rPr>
          <w:rFonts w:ascii="宋体" w:hAnsi="宋体" w:eastAsia="宋体" w:cs="宋体"/>
          <w:color w:val="333333"/>
          <w:sz w:val="32"/>
          <w:szCs w:val="32"/>
        </w:rPr>
      </w:pPr>
    </w:p>
    <w:p>
      <w:pPr>
        <w:pStyle w:val="10"/>
        <w:widowControl/>
        <w:shd w:val="clear" w:color="auto" w:fill="FFFFFF"/>
        <w:spacing w:beforeAutospacing="0" w:afterAutospacing="0"/>
        <w:ind w:firstLine="640"/>
        <w:jc w:val="both"/>
        <w:rPr>
          <w:rFonts w:ascii="仿宋" w:hAnsi="仿宋" w:eastAsia="仿宋" w:cs="仿宋"/>
          <w:color w:val="333333"/>
          <w:sz w:val="32"/>
          <w:szCs w:val="32"/>
        </w:rPr>
      </w:pPr>
      <w:r>
        <w:rPr>
          <w:rFonts w:hint="eastAsia" w:ascii="仿宋" w:hAnsi="仿宋" w:eastAsia="仿宋" w:cs="仿宋"/>
          <w:color w:val="000000"/>
          <w:sz w:val="31"/>
          <w:szCs w:val="31"/>
          <w:shd w:val="clear" w:color="auto" w:fill="FFFFFF"/>
          <w:lang w:val="en-US" w:eastAsia="zh-CN"/>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婺源县城市管理局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婺源县人民政府网站（www.jxwy.gov.cn）下载。如对本报告有任何疑问，请与婺源县城市管理局联系（地址：婺源县蚺城街道文公南路15号，电话：0793-7363077邮编：333200）。</w:t>
      </w:r>
    </w:p>
    <w:p>
      <w:pPr>
        <w:pStyle w:val="10"/>
        <w:widowControl/>
        <w:shd w:val="clear" w:color="auto" w:fill="FFFFFF"/>
        <w:spacing w:beforeAutospacing="0" w:afterAutospacing="0"/>
        <w:ind w:firstLine="64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pStyle w:val="10"/>
        <w:widowControl/>
        <w:shd w:val="clear" w:color="auto" w:fill="FFFFFF"/>
        <w:spacing w:beforeAutospacing="0" w:afterAutospacing="0" w:line="11" w:lineRule="atLeast"/>
        <w:ind w:left="0" w:leftChars="0" w:firstLine="0" w:firstLineChars="0"/>
        <w:jc w:val="both"/>
        <w:rPr>
          <w:rFonts w:hint="eastAsia" w:ascii="仿宋" w:hAnsi="仿宋" w:eastAsia="仿宋" w:cs="仿宋"/>
          <w:color w:val="0070C0"/>
          <w:sz w:val="32"/>
          <w:szCs w:val="32"/>
        </w:rPr>
      </w:pPr>
      <w:r>
        <w:rPr>
          <w:rFonts w:hint="eastAsia" w:ascii="仿宋" w:hAnsi="仿宋" w:eastAsia="仿宋" w:cs="仿宋"/>
          <w:color w:val="333333"/>
          <w:sz w:val="32"/>
          <w:szCs w:val="32"/>
          <w:lang w:val="en-US" w:eastAsia="zh-CN"/>
        </w:rPr>
        <w:t xml:space="preserve">   </w:t>
      </w:r>
      <w:r>
        <w:rPr>
          <w:rFonts w:hint="eastAsia" w:ascii="仿宋" w:hAnsi="仿宋" w:eastAsia="仿宋" w:cs="仿宋"/>
          <w:color w:val="000000"/>
          <w:sz w:val="31"/>
          <w:szCs w:val="31"/>
          <w:shd w:val="clear" w:color="auto" w:fill="FFFFFF"/>
          <w:lang w:val="en-US" w:eastAsia="zh-CN"/>
        </w:rPr>
        <w:t xml:space="preserve"> 2022年婺源县城市管理局坚持以习近平新时代中国特色社会主义思想为指导，深入贯彻党的二十大精神，严格落实《条例》和《国务院办公厅关于印发2022年政务公开工作要点的通知》（国办发〔2022〕8号）要求。同时积极对《江西省人民政府办公厅关于印发2022年江西省政务公开工作要点的通知》（赣府厅字〔2022〕45号）明确目标任务。紧紧围绕县委、县政府中心工作及社会群众关注关切，加强政策发布的力度和时效，持续提升公开质量和治理效能，取得积极成效。2022年在婺源县人民政府网信息公开平台公开政府信息共计109条。</w:t>
      </w:r>
    </w:p>
    <w:p>
      <w:pPr>
        <w:pStyle w:val="10"/>
        <w:widowControl/>
        <w:numPr>
          <w:ilvl w:val="0"/>
          <w:numId w:val="1"/>
        </w:numPr>
        <w:shd w:val="clear" w:color="auto" w:fill="FFFFFF"/>
        <w:spacing w:beforeAutospacing="0" w:afterAutospacing="0"/>
        <w:ind w:left="420" w:firstLine="320" w:firstLineChars="100"/>
        <w:jc w:val="both"/>
        <w:rPr>
          <w:rFonts w:ascii="楷体" w:hAnsi="楷体" w:eastAsia="楷体" w:cs="楷体"/>
          <w:bCs/>
          <w:color w:val="333333"/>
          <w:sz w:val="32"/>
          <w:szCs w:val="32"/>
          <w:shd w:val="clear" w:color="auto" w:fill="FFFFFF"/>
        </w:rPr>
      </w:pPr>
      <w:r>
        <w:rPr>
          <w:rFonts w:hint="eastAsia" w:ascii="楷体" w:hAnsi="楷体" w:eastAsia="楷体" w:cs="楷体"/>
          <w:bCs/>
          <w:color w:val="333333"/>
          <w:sz w:val="32"/>
          <w:szCs w:val="32"/>
          <w:shd w:val="clear" w:color="auto" w:fill="FFFFFF"/>
        </w:rPr>
        <w:t>主动公开</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婺源县城市管理局认真贯彻落实省、市、县有关政务公开工作要求，始终坚持“以公开为常态、不公开为例外”原则，主动公开概况信息、法规文件、工作动态（含政务动态和饮用水水质监测）、发展规划、人事信息、财经信息等多方面的信息，并坚持以市场主体和群众需求为导向，提高政府信息公开精准度和到达率。</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2022年我单位在婺源县人民政府信息网上总共发布109条信息，其中概况信息1条，法规文件4条，发展规划1条，政府信息公开公开年报1条，工作动态66条，饮用水水质监测信息7条，建议提案办理信息12条，人事信息1条，财经信息16条。</w:t>
      </w:r>
    </w:p>
    <w:p>
      <w:pPr>
        <w:pStyle w:val="10"/>
        <w:widowControl/>
        <w:shd w:val="clear" w:color="auto" w:fill="FFFFFF"/>
        <w:spacing w:beforeAutospacing="0" w:afterAutospacing="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（二）依申请公开</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我单位在依申请公开工作中严格落实《政府信息公开条例》，健全工作机制，强化服务意识，规范公开渠道。紧紧围绕城乡环境整治、创建文明城市、城市功能品质提升等中心工作充实公开内容，提高行政工作透明度。进一步完善政府信息公开申请登记、审核、办理、答复、归档等工作制度。2022年度我单位未收到依申请公开申请，在全年信息公开工作中，未出现因政府信息公开工作被申请行政复议的情况，未出现因政府信息公开工作被提起行政诉讼的情况。</w:t>
      </w:r>
    </w:p>
    <w:p>
      <w:pPr>
        <w:pStyle w:val="10"/>
        <w:widowControl/>
        <w:shd w:val="clear" w:color="auto" w:fill="FFFFFF"/>
        <w:spacing w:beforeAutospacing="0" w:afterAutospacing="0"/>
        <w:ind w:firstLine="64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（三）政府信息管理</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2022年，我单位进一步加强政府信息公开工作，建立工作机构，落实“主要领导亲自抓，分管领导具体抓，职能部门抓落实”的工作机制，推进部门信息公开工作有序开展。我单位按照县政府统一部署，加强组织领导，健全工作机制，认真贯彻《中华人民共和国政府信息公开条例》的各项要求，扎实推进城市管理行政信息公开工作，切实为公民、法人和其他组织提供直接、全面、真实的城市管理行政信息。加强对单位信息公开的督促，单位内部各有关股室也建立起了工作联系制度，使信息公开工作人员能准确掌握城市管理各方面的政务动态。</w:t>
      </w:r>
    </w:p>
    <w:p>
      <w:pPr>
        <w:pStyle w:val="10"/>
        <w:widowControl/>
        <w:shd w:val="clear" w:color="auto" w:fill="FFFFFF"/>
        <w:spacing w:beforeAutospacing="0" w:afterAutospacing="0"/>
        <w:ind w:firstLine="64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（四）平台建设</w:t>
      </w:r>
    </w:p>
    <w:p>
      <w:pPr>
        <w:pStyle w:val="10"/>
        <w:widowControl/>
        <w:shd w:val="clear" w:color="auto" w:fill="FFFFFF"/>
        <w:wordWrap/>
        <w:adjustRightInd/>
        <w:snapToGrid/>
        <w:spacing w:beforeAutospacing="0" w:afterAutospacing="0"/>
        <w:ind w:left="0" w:leftChars="0" w:firstLine="640" w:firstLineChars="200"/>
        <w:jc w:val="both"/>
        <w:textAlignment w:val="auto"/>
        <w:rPr>
          <w:rFonts w:ascii="楷体" w:hAnsi="楷体" w:eastAsia="楷体" w:cs="楷体"/>
          <w:color w:val="333333"/>
          <w:sz w:val="32"/>
          <w:szCs w:val="32"/>
          <w:shd w:val="clear" w:color="auto" w:fill="FFFFFF"/>
        </w:rPr>
      </w:pPr>
      <w:r>
        <w:rPr>
          <w:rFonts w:hint="eastAsia" w:ascii="仿宋" w:hAnsi="仿宋" w:eastAsia="仿宋" w:cs="仿宋"/>
          <w:color w:val="000000"/>
          <w:sz w:val="31"/>
          <w:szCs w:val="31"/>
          <w:shd w:val="clear" w:color="auto" w:fill="FFFFFF"/>
          <w:lang w:val="en-US" w:eastAsia="zh-CN"/>
        </w:rPr>
        <w:t>按照县政务公开文件精神，我单位精确规划、标准建设，及时准确公布相关政务信息，通过婺源县政府门户网站管理平台及时公开信息。本单位页面工作动态专栏定期公布城市管理政务动态和饮用水水水质监测信息，方便群众及时获取信息。安排专人负责政务网信息公开的维护管理和公开信息的编辑、审核，有效保证了网站信息更新速率和数量。</w:t>
      </w:r>
    </w:p>
    <w:p>
      <w:pPr>
        <w:pStyle w:val="10"/>
        <w:shd w:val="clear" w:color="auto" w:fill="FFFFFF"/>
        <w:spacing w:beforeAutospacing="0" w:afterAutospacing="0"/>
        <w:ind w:firstLine="64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（五）监督保障</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加强组织领导，高度重视政务公开和政府信息公开工作，认真贯彻落实《中华人民共和国政府信息公开条例》及相关文件的精神，依法及时公开各种政府信息。同时，进一步加强信息公开工作人员的保密审查教育和业务培训工作，努力提升工作质量，不断提升业务水平。建立健全信息公开制度，严格执行信息发布审核和依申请公开等机制，建立内外部监督，并将信息公开情况列入年度工作考核内容。</w:t>
      </w:r>
    </w:p>
    <w:p>
      <w:pPr>
        <w:numPr>
          <w:ilvl w:val="0"/>
          <w:numId w:val="2"/>
        </w:numPr>
        <w:spacing w:line="540" w:lineRule="exact"/>
        <w:ind w:firstLine="640"/>
        <w:rPr>
          <w:rFonts w:hint="eastAsia" w:ascii="黑体" w:hAnsi="黑体" w:eastAsia="黑体" w:cs="黑体"/>
          <w:bCs/>
          <w:sz w:val="32"/>
          <w:szCs w:val="32"/>
        </w:rPr>
      </w:pPr>
      <w:r>
        <w:rPr>
          <w:rFonts w:hint="eastAsia" w:ascii="黑体" w:hAnsi="黑体" w:eastAsia="黑体" w:cs="黑体"/>
          <w:bCs/>
          <w:sz w:val="32"/>
          <w:szCs w:val="32"/>
        </w:rPr>
        <w:t>主动公开政府信息情况</w:t>
      </w:r>
    </w:p>
    <w:tbl>
      <w:tblPr>
        <w:tblW w:w="8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173"/>
        <w:gridCol w:w="2025"/>
        <w:gridCol w:w="2295"/>
      </w:tblGrid>
      <w:tr>
        <w:tc>
          <w:tcPr>
            <w:tcW w:w="8484" w:type="dxa"/>
            <w:gridSpan w:val="4"/>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第二十条第（一）项</w:t>
            </w:r>
          </w:p>
        </w:tc>
      </w:tr>
      <w:tr>
        <w:trPr>
          <w:trHeight w:val="546" w:hRule="atLeast"/>
        </w:trPr>
        <w:tc>
          <w:tcPr>
            <w:tcW w:w="1991"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信息内容</w:t>
            </w:r>
          </w:p>
        </w:tc>
        <w:tc>
          <w:tcPr>
            <w:tcW w:w="2173"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本年制发件数</w:t>
            </w:r>
          </w:p>
        </w:tc>
        <w:tc>
          <w:tcPr>
            <w:tcW w:w="2025"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本年废止件数</w:t>
            </w:r>
          </w:p>
        </w:tc>
        <w:tc>
          <w:tcPr>
            <w:tcW w:w="2295"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现行有效件数</w:t>
            </w:r>
          </w:p>
        </w:tc>
      </w:tr>
      <w:tr>
        <w:tc>
          <w:tcPr>
            <w:tcW w:w="1991" w:type="dxa"/>
            <w:vAlign w:val="center"/>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规章</w:t>
            </w:r>
          </w:p>
        </w:tc>
        <w:tc>
          <w:tcPr>
            <w:tcW w:w="2173"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025"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c>
          <w:tcPr>
            <w:tcW w:w="1991"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行政规范性文件</w:t>
            </w:r>
          </w:p>
        </w:tc>
        <w:tc>
          <w:tcPr>
            <w:tcW w:w="2173"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025"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62</w:t>
            </w:r>
          </w:p>
        </w:tc>
      </w:tr>
      <w:tr>
        <w:tc>
          <w:tcPr>
            <w:tcW w:w="8484" w:type="dxa"/>
            <w:gridSpan w:val="4"/>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第二十条第（五）项</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行政许可</w:t>
            </w:r>
          </w:p>
        </w:tc>
        <w:tc>
          <w:tcPr>
            <w:tcW w:w="6493" w:type="dxa"/>
            <w:gridSpan w:val="3"/>
            <w:vAlign w:val="top"/>
          </w:tcPr>
          <w:p>
            <w:pPr>
              <w:spacing w:line="460" w:lineRule="exact"/>
              <w:ind w:firstLine="420"/>
              <w:jc w:val="left"/>
              <w:rPr>
                <w:rFonts w:hint="eastAsia" w:ascii="仿宋" w:hAnsi="仿宋" w:eastAsia="仿宋" w:cs="仿宋"/>
                <w:color w:val="FF0000"/>
                <w:szCs w:val="21"/>
                <w:lang w:val="en-US" w:eastAsia="zh-CN"/>
              </w:rPr>
            </w:pPr>
            <w:r>
              <w:rPr>
                <w:rFonts w:hint="eastAsia" w:ascii="仿宋" w:hAnsi="仿宋" w:eastAsia="仿宋" w:cs="仿宋"/>
                <w:sz w:val="24"/>
                <w:lang w:val="en-US" w:eastAsia="zh-CN"/>
              </w:rPr>
              <w:t>101件</w:t>
            </w:r>
          </w:p>
        </w:tc>
      </w:tr>
      <w:tr>
        <w:tc>
          <w:tcPr>
            <w:tcW w:w="8484" w:type="dxa"/>
            <w:gridSpan w:val="4"/>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第二十条第（六）项</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行政处罚</w:t>
            </w:r>
          </w:p>
        </w:tc>
        <w:tc>
          <w:tcPr>
            <w:tcW w:w="6493" w:type="dxa"/>
            <w:gridSpan w:val="3"/>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18</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行政强制</w:t>
            </w:r>
          </w:p>
        </w:tc>
        <w:tc>
          <w:tcPr>
            <w:tcW w:w="6493" w:type="dxa"/>
            <w:gridSpan w:val="3"/>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c>
          <w:tcPr>
            <w:tcW w:w="8484" w:type="dxa"/>
            <w:gridSpan w:val="4"/>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第二十条第（八）项</w:t>
            </w:r>
          </w:p>
        </w:tc>
      </w:tr>
      <w:tr>
        <w:tc>
          <w:tcPr>
            <w:tcW w:w="1991" w:type="dxa"/>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vAlign w:val="top"/>
          </w:tcPr>
          <w:p>
            <w:pPr>
              <w:spacing w:line="460" w:lineRule="exact"/>
              <w:ind w:firstLine="480"/>
              <w:jc w:val="center"/>
              <w:rPr>
                <w:rFonts w:ascii="仿宋" w:hAnsi="仿宋" w:eastAsia="仿宋" w:cs="仿宋"/>
                <w:sz w:val="24"/>
              </w:rPr>
            </w:pPr>
            <w:r>
              <w:rPr>
                <w:rFonts w:hint="eastAsia" w:ascii="仿宋" w:hAnsi="仿宋" w:eastAsia="仿宋" w:cs="仿宋"/>
                <w:sz w:val="24"/>
              </w:rPr>
              <w:t>本年收费金额（单位：万元）</w:t>
            </w:r>
          </w:p>
        </w:tc>
      </w:tr>
      <w:tr>
        <w:tc>
          <w:tcPr>
            <w:tcW w:w="1991" w:type="dxa"/>
            <w:vAlign w:val="top"/>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行政事业性收费</w:t>
            </w:r>
          </w:p>
        </w:tc>
        <w:tc>
          <w:tcPr>
            <w:tcW w:w="6493" w:type="dxa"/>
            <w:gridSpan w:val="3"/>
            <w:vAlign w:val="top"/>
          </w:tcPr>
          <w:p>
            <w:pPr>
              <w:spacing w:line="460" w:lineRule="exact"/>
              <w:ind w:firstLine="420"/>
              <w:jc w:val="left"/>
              <w:rPr>
                <w:rFonts w:hint="eastAsia" w:ascii="仿宋" w:hAnsi="仿宋" w:eastAsia="仿宋" w:cs="仿宋"/>
                <w:color w:val="FF0000"/>
                <w:szCs w:val="21"/>
                <w:lang w:val="en-US" w:eastAsia="zh-CN"/>
              </w:rPr>
            </w:pPr>
            <w:r>
              <w:rPr>
                <w:rFonts w:hint="eastAsia" w:ascii="仿宋" w:hAnsi="仿宋" w:eastAsia="仿宋" w:cs="仿宋"/>
                <w:sz w:val="24"/>
                <w:lang w:val="en-US" w:eastAsia="zh-CN"/>
              </w:rPr>
              <w:t>180.45</w:t>
            </w:r>
          </w:p>
        </w:tc>
      </w:tr>
    </w:tbl>
    <w:p>
      <w:pPr>
        <w:spacing w:line="540" w:lineRule="exact"/>
        <w:ind w:left="0" w:leftChars="0" w:firstLine="0" w:firstLineChars="0"/>
        <w:rPr>
          <w:rFonts w:hint="eastAsia" w:ascii="黑体" w:hAnsi="黑体" w:eastAsia="黑体" w:cs="黑体"/>
          <w:bCs/>
          <w:sz w:val="32"/>
          <w:szCs w:val="32"/>
        </w:rPr>
      </w:pPr>
    </w:p>
    <w:p>
      <w:pPr>
        <w:spacing w:line="540" w:lineRule="exact"/>
        <w:ind w:firstLine="640"/>
        <w:rPr>
          <w:rFonts w:ascii="仿宋_GB2312" w:hAnsi="仿宋" w:eastAsia="仿宋_GB2312"/>
          <w:color w:val="FF0000"/>
          <w:sz w:val="32"/>
          <w:szCs w:val="32"/>
        </w:rPr>
      </w:pPr>
      <w:r>
        <w:rPr>
          <w:rFonts w:hint="eastAsia" w:ascii="黑体" w:hAnsi="黑体" w:eastAsia="黑体" w:cs="黑体"/>
          <w:bCs/>
          <w:sz w:val="32"/>
          <w:szCs w:val="32"/>
        </w:rPr>
        <w:t>三、收到和处理政府信息公开申请情况</w:t>
      </w:r>
    </w:p>
    <w:tbl>
      <w:tblPr>
        <w:tblW w:w="10148" w:type="dxa"/>
        <w:jc w:val="center"/>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15" w:type="dxa"/>
          <w:right w:w="15" w:type="dxa"/>
        </w:tblCellMar>
      </w:tblPr>
      <w:tblGrid>
        <w:gridCol w:w="785"/>
        <w:gridCol w:w="959"/>
        <w:gridCol w:w="3406"/>
        <w:gridCol w:w="714"/>
        <w:gridCol w:w="714"/>
        <w:gridCol w:w="714"/>
        <w:gridCol w:w="714"/>
        <w:gridCol w:w="714"/>
        <w:gridCol w:w="714"/>
        <w:gridCol w:w="714"/>
      </w:tblGrid>
      <w:tr>
        <w:trPr>
          <w:jc w:val="center"/>
        </w:trPr>
        <w:tc>
          <w:tcPr>
            <w:tcW w:w="5150" w:type="dxa"/>
            <w:gridSpan w:val="3"/>
            <w:vMerge w:val="restart"/>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（本列数据的勾稽关系为：第一项加第二项之和，等于第三项加第四项之和）</w:t>
            </w:r>
          </w:p>
        </w:tc>
        <w:tc>
          <w:tcPr>
            <w:tcW w:w="4998" w:type="dxa"/>
            <w:gridSpan w:val="7"/>
            <w:tcBorders>
              <w:top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center"/>
              <w:rPr>
                <w:rFonts w:hint="default" w:ascii="仿宋" w:hAnsi="仿宋" w:eastAsia="仿宋" w:cs="仿宋"/>
                <w:szCs w:val="21"/>
                <w:lang w:val="en-US" w:eastAsia="zh-CN"/>
              </w:rPr>
            </w:pPr>
            <w:r>
              <w:rPr>
                <w:rFonts w:hint="default" w:ascii="仿宋" w:hAnsi="仿宋" w:eastAsia="仿宋" w:cs="仿宋"/>
                <w:szCs w:val="21"/>
                <w:lang w:val="en-US" w:eastAsia="zh-CN"/>
              </w:rPr>
              <w:t>申请人情况</w:t>
            </w:r>
          </w:p>
        </w:tc>
      </w:tr>
      <w:tr>
        <w:trPr>
          <w:jc w:val="center"/>
        </w:trPr>
        <w:tc>
          <w:tcPr>
            <w:tcW w:w="5150" w:type="dxa"/>
            <w:gridSpan w:val="3"/>
            <w:vMerge w:val="continue"/>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714" w:type="dxa"/>
            <w:vMerge w:val="restart"/>
            <w:tcBorders>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自然人</w:t>
            </w:r>
          </w:p>
        </w:tc>
        <w:tc>
          <w:tcPr>
            <w:tcW w:w="3570" w:type="dxa"/>
            <w:gridSpan w:val="5"/>
            <w:tcBorders>
              <w:top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法人或其他组织</w:t>
            </w:r>
          </w:p>
        </w:tc>
        <w:tc>
          <w:tcPr>
            <w:tcW w:w="714" w:type="dxa"/>
            <w:vMerge w:val="restart"/>
            <w:tcBorders>
              <w:top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总计</w:t>
            </w:r>
          </w:p>
        </w:tc>
      </w:tr>
      <w:tr>
        <w:trPr>
          <w:jc w:val="center"/>
        </w:trPr>
        <w:tc>
          <w:tcPr>
            <w:tcW w:w="5150" w:type="dxa"/>
            <w:gridSpan w:val="3"/>
            <w:vMerge w:val="continue"/>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714" w:type="dxa"/>
            <w:vMerge w:val="continue"/>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商业</w:t>
            </w:r>
          </w:p>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企业</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科研</w:t>
            </w:r>
          </w:p>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机构</w:t>
            </w:r>
          </w:p>
        </w:tc>
        <w:tc>
          <w:tcPr>
            <w:tcW w:w="714" w:type="dxa"/>
            <w:tcBorders>
              <w:top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社会公益组织</w:t>
            </w:r>
          </w:p>
        </w:tc>
        <w:tc>
          <w:tcPr>
            <w:tcW w:w="714" w:type="dxa"/>
            <w:tcBorders>
              <w:top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法律服务机构</w:t>
            </w:r>
          </w:p>
        </w:tc>
        <w:tc>
          <w:tcPr>
            <w:tcW w:w="714" w:type="dxa"/>
            <w:tcBorders>
              <w:top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其他</w:t>
            </w:r>
          </w:p>
        </w:tc>
        <w:tc>
          <w:tcPr>
            <w:tcW w:w="714" w:type="dxa"/>
            <w:vMerge w:val="continue"/>
            <w:tcBorders>
              <w:top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r>
      <w:tr>
        <w:trPr>
          <w:jc w:val="center"/>
        </w:trPr>
        <w:tc>
          <w:tcPr>
            <w:tcW w:w="5150" w:type="dxa"/>
            <w:gridSpan w:val="3"/>
            <w:tcBorders>
              <w:left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一、本年新收政府信息公开申请数量</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5150" w:type="dxa"/>
            <w:gridSpan w:val="3"/>
            <w:tcBorders>
              <w:left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二、上年结转政府信息公开申请数量</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restart"/>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三、本年度办理结果</w:t>
            </w:r>
          </w:p>
        </w:tc>
        <w:tc>
          <w:tcPr>
            <w:tcW w:w="4365" w:type="dxa"/>
            <w:gridSpan w:val="2"/>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（一）予以公开</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top w:val="single" w:color="000000" w:sz="8" w:space="0"/>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4365" w:type="dxa"/>
            <w:gridSpan w:val="2"/>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（二）部分公开（区分处理的，只计这一情形，不计其他情形）</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restart"/>
            <w:tcBorders>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（三）不予公开</w:t>
            </w: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1.属于国家秘密</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top w:val="single" w:color="000000" w:sz="8" w:space="0"/>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2.其他法律行政法规禁止公开</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3.危及“三安全一稳定”</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4.保护第三方合法权益</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5.属于三类内部事务信息</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6.属于四类过程性信息</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7.属于行政执法案卷</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8.属于行政查询事项</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restart"/>
            <w:tcBorders>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（四）无法提供</w:t>
            </w: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1.本机关不掌握相关政府信息</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2.没有现成信息需要另行制作</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3.补正后申请内容仍不明确</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restart"/>
            <w:tcBorders>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（五）不予处理</w:t>
            </w: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1.信访举报投诉类申请</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2.重复申请</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3.要求提供公开出版物</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4.无正当理由大量反复申请</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trHeight w:val="779" w:hRule="atLeast"/>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5.要求行政机关确认或重新出具已获取信息</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outset"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restart"/>
            <w:tcBorders>
              <w:top w:val="outset"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（六）其他处理</w:t>
            </w:r>
          </w:p>
        </w:tc>
        <w:tc>
          <w:tcPr>
            <w:tcW w:w="3406"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1.申请人无正当理由逾期不补正、行政机关不再处理其政府信息公开申请</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top w:val="outset"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2.申请人逾期未按收费通知要求缴纳费用、行政机关不再处理其政府信息公开申请</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959" w:type="dxa"/>
            <w:vMerge w:val="continue"/>
            <w:tcBorders>
              <w:top w:val="outset"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3406"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3.其他</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785" w:type="dxa"/>
            <w:vMerge w:val="continue"/>
            <w:tcBorders>
              <w:left w:val="single" w:color="000000" w:sz="8" w:space="0"/>
              <w:bottom w:val="outset"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p>
        </w:tc>
        <w:tc>
          <w:tcPr>
            <w:tcW w:w="4365" w:type="dxa"/>
            <w:gridSpan w:val="2"/>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（七）总计</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r>
      <w:tr>
        <w:trPr>
          <w:jc w:val="center"/>
        </w:trPr>
        <w:tc>
          <w:tcPr>
            <w:tcW w:w="5150" w:type="dxa"/>
            <w:gridSpan w:val="3"/>
            <w:tcBorders>
              <w:left w:val="single" w:color="000000" w:sz="8" w:space="0"/>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四、结转下年度继续办理</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center"/>
          </w:tcPr>
          <w:p>
            <w:pPr>
              <w:spacing w:line="460" w:lineRule="exact"/>
              <w:ind w:firstLine="420"/>
              <w:jc w:val="left"/>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14" w:type="dxa"/>
            <w:tcBorders>
              <w:bottom w:val="single" w:color="000000" w:sz="8" w:space="0"/>
              <w:right w:val="single" w:color="000000" w:sz="8" w:space="0"/>
            </w:tcBorders>
            <w:tcMar>
              <w:top w:w="0" w:type="dxa"/>
              <w:left w:w="57" w:type="dxa"/>
              <w:bottom w:w="0" w:type="dxa"/>
              <w:right w:w="57" w:type="dxa"/>
            </w:tcMar>
            <w:vAlign w:val="top"/>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bl>
    <w:p>
      <w:pPr>
        <w:spacing w:line="540" w:lineRule="exact"/>
        <w:ind w:left="0" w:leftChars="0" w:firstLine="0" w:firstLineChars="0"/>
        <w:rPr>
          <w:rFonts w:ascii="仿宋" w:hAnsi="仿宋" w:eastAsia="仿宋" w:cs="仿宋"/>
        </w:rPr>
      </w:pPr>
    </w:p>
    <w:p>
      <w:pPr>
        <w:spacing w:line="540" w:lineRule="exact"/>
        <w:ind w:firstLine="640"/>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W w:w="9748" w:type="dxa"/>
        <w:jc w:val="center"/>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15" w:type="dxa"/>
          <w:right w:w="15" w:type="dxa"/>
        </w:tblCellMar>
      </w:tblPr>
      <w:tblGrid>
        <w:gridCol w:w="642"/>
        <w:gridCol w:w="642"/>
        <w:gridCol w:w="642"/>
        <w:gridCol w:w="642"/>
        <w:gridCol w:w="642"/>
        <w:gridCol w:w="642"/>
        <w:gridCol w:w="642"/>
        <w:gridCol w:w="643"/>
        <w:gridCol w:w="643"/>
        <w:gridCol w:w="643"/>
        <w:gridCol w:w="643"/>
        <w:gridCol w:w="643"/>
        <w:gridCol w:w="643"/>
        <w:gridCol w:w="643"/>
        <w:gridCol w:w="753"/>
      </w:tblGrid>
      <w:tr>
        <w:trPr>
          <w:trHeight w:val="0" w:hRule="atLeast"/>
          <w:jc w:val="center"/>
        </w:trPr>
        <w:tc>
          <w:tcPr>
            <w:tcW w:w="3210" w:type="dxa"/>
            <w:gridSpan w:val="5"/>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jc w:val="center"/>
              <w:rPr>
                <w:rFonts w:hint="default" w:ascii="仿宋" w:hAnsi="仿宋" w:eastAsia="仿宋" w:cs="仿宋"/>
                <w:szCs w:val="21"/>
                <w:lang w:val="en-US" w:eastAsia="zh-CN"/>
              </w:rPr>
            </w:pPr>
            <w:r>
              <w:rPr>
                <w:rFonts w:hint="default" w:ascii="仿宋" w:hAnsi="仿宋" w:eastAsia="仿宋" w:cs="仿宋"/>
                <w:szCs w:val="21"/>
                <w:lang w:val="en-US" w:eastAsia="zh-CN"/>
              </w:rPr>
              <w:t>行政复议</w:t>
            </w:r>
          </w:p>
        </w:tc>
        <w:tc>
          <w:tcPr>
            <w:tcW w:w="6538" w:type="dxa"/>
            <w:gridSpan w:val="10"/>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default" w:ascii="仿宋" w:hAnsi="仿宋" w:eastAsia="仿宋" w:cs="仿宋"/>
                <w:szCs w:val="21"/>
                <w:lang w:val="en-US" w:eastAsia="zh-CN"/>
              </w:rPr>
              <w:t>行政诉讼</w:t>
            </w:r>
          </w:p>
        </w:tc>
      </w:tr>
      <w:tr>
        <w:trPr>
          <w:trHeight w:val="0" w:hRule="atLeast"/>
          <w:jc w:val="center"/>
        </w:trPr>
        <w:tc>
          <w:tcPr>
            <w:tcW w:w="642" w:type="dxa"/>
            <w:vMerge w:val="restart"/>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结果维持</w:t>
            </w:r>
          </w:p>
        </w:tc>
        <w:tc>
          <w:tcPr>
            <w:tcW w:w="642" w:type="dxa"/>
            <w:vMerge w:val="restart"/>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 纠正</w:t>
            </w:r>
          </w:p>
        </w:tc>
        <w:tc>
          <w:tcPr>
            <w:tcW w:w="642"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其他 结果</w:t>
            </w:r>
          </w:p>
        </w:tc>
        <w:tc>
          <w:tcPr>
            <w:tcW w:w="642"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尚未 审结</w:t>
            </w:r>
          </w:p>
        </w:tc>
        <w:tc>
          <w:tcPr>
            <w:tcW w:w="642"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总计</w:t>
            </w:r>
          </w:p>
        </w:tc>
        <w:tc>
          <w:tcPr>
            <w:tcW w:w="3213" w:type="dxa"/>
            <w:gridSpan w:val="5"/>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r>
              <w:rPr>
                <w:rFonts w:hint="default" w:ascii="仿宋" w:hAnsi="仿宋" w:eastAsia="仿宋" w:cs="仿宋"/>
                <w:szCs w:val="21"/>
                <w:lang w:val="en-US" w:eastAsia="zh-CN"/>
              </w:rPr>
              <w:t>未经复议直接起诉</w:t>
            </w:r>
          </w:p>
        </w:tc>
        <w:tc>
          <w:tcPr>
            <w:tcW w:w="3325" w:type="dxa"/>
            <w:gridSpan w:val="5"/>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default" w:ascii="仿宋" w:hAnsi="仿宋" w:eastAsia="仿宋" w:cs="仿宋"/>
                <w:szCs w:val="21"/>
                <w:lang w:val="en-US" w:eastAsia="zh-CN"/>
              </w:rPr>
              <w:t>复议后起诉</w:t>
            </w:r>
          </w:p>
        </w:tc>
      </w:tr>
      <w:tr>
        <w:trPr>
          <w:jc w:val="center"/>
        </w:trPr>
        <w:tc>
          <w:tcPr>
            <w:tcW w:w="642"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642"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642" w:type="dxa"/>
            <w:vMerge w:val="continue"/>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642" w:type="dxa"/>
            <w:vMerge w:val="continue"/>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642" w:type="dxa"/>
            <w:vMerge w:val="continue"/>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left"/>
              <w:rPr>
                <w:rFonts w:hint="default" w:ascii="仿宋" w:hAnsi="仿宋" w:eastAsia="仿宋" w:cs="仿宋"/>
                <w:szCs w:val="21"/>
                <w:lang w:val="en-US" w:eastAsia="zh-CN"/>
              </w:rPr>
            </w:pP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 维持</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 纠正</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其他 结果</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尚未 审结</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总计</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 维持</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结果 纠正</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其他 结果</w:t>
            </w:r>
          </w:p>
        </w:tc>
        <w:tc>
          <w:tcPr>
            <w:tcW w:w="6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尚未 审结</w:t>
            </w:r>
          </w:p>
        </w:tc>
        <w:tc>
          <w:tcPr>
            <w:tcW w:w="75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left"/>
              <w:rPr>
                <w:rFonts w:hint="default" w:ascii="仿宋" w:hAnsi="仿宋" w:eastAsia="仿宋" w:cs="仿宋"/>
                <w:szCs w:val="21"/>
                <w:lang w:val="en-US" w:eastAsia="zh-CN"/>
              </w:rPr>
            </w:pPr>
            <w:r>
              <w:rPr>
                <w:rFonts w:hint="default" w:ascii="仿宋" w:hAnsi="仿宋" w:eastAsia="仿宋" w:cs="仿宋"/>
                <w:szCs w:val="21"/>
                <w:lang w:val="en-US" w:eastAsia="zh-CN"/>
              </w:rPr>
              <w:t>总计</w:t>
            </w:r>
          </w:p>
        </w:tc>
      </w:tr>
      <w:tr>
        <w:trPr>
          <w:trHeight w:val="672" w:hRule="atLeast"/>
          <w:jc w:val="center"/>
        </w:trPr>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2"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64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r>
              <w:rPr>
                <w:rFonts w:hint="default" w:ascii="仿宋" w:hAnsi="仿宋" w:eastAsia="仿宋" w:cs="仿宋"/>
                <w:szCs w:val="21"/>
                <w:lang w:val="en-US" w:eastAsia="zh-CN"/>
              </w:rPr>
              <w:t xml:space="preserve"> </w:t>
            </w:r>
          </w:p>
        </w:tc>
        <w:tc>
          <w:tcPr>
            <w:tcW w:w="753"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460" w:lineRule="exact"/>
              <w:ind w:left="0" w:leftChars="0" w:firstLine="0" w:firstLineChars="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bl>
    <w:p>
      <w:pPr>
        <w:pStyle w:val="10"/>
        <w:widowControl/>
        <w:shd w:val="clear" w:color="auto" w:fill="FFFFFF"/>
        <w:spacing w:beforeAutospacing="0" w:afterAutospacing="0"/>
        <w:ind w:left="0" w:leftChars="0" w:firstLine="0" w:firstLineChars="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lang w:val="en-US" w:eastAsia="zh-CN"/>
        </w:rPr>
        <w:t xml:space="preserve">    </w:t>
      </w:r>
      <w:r>
        <w:rPr>
          <w:rFonts w:hint="eastAsia" w:ascii="黑体" w:hAnsi="黑体" w:eastAsia="黑体" w:cs="黑体"/>
          <w:bCs/>
          <w:color w:val="333333"/>
          <w:sz w:val="32"/>
          <w:szCs w:val="32"/>
          <w:shd w:val="clear" w:color="auto" w:fill="FFFFFF"/>
        </w:rPr>
        <w:t>五、存在的主要问题及改进情况</w:t>
      </w:r>
    </w:p>
    <w:p>
      <w:pPr>
        <w:pStyle w:val="10"/>
        <w:widowControl/>
        <w:shd w:val="clear" w:color="auto" w:fill="FFFFFF"/>
        <w:spacing w:beforeAutospacing="0" w:afterAutospacing="0" w:line="510" w:lineRule="atLeast"/>
        <w:ind w:firstLine="620"/>
        <w:jc w:val="both"/>
        <w:rPr>
          <w:rFonts w:hint="default"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2022年，我单位信息公开工作虽然取得了一定的成效，但与社会对城市管理信息的公开需求还存差距。一是一些时效性强的工作动态信息如停水信息未及时公开，二是公开内容的形式较为单一，缺乏创新。</w:t>
      </w:r>
      <w:bookmarkStart w:id="0" w:name="_GoBack"/>
      <w:bookmarkEnd w:id="0"/>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为此，我单位下一步将更加注重工作动态信息的时效性，及时准确向社会公开，加强队伍建设，开展相关工作人员的业务培训，拓展信息公开思路，增加图文解读等内容。</w:t>
      </w:r>
    </w:p>
    <w:p>
      <w:pPr>
        <w:pStyle w:val="10"/>
        <w:widowControl/>
        <w:shd w:val="clear" w:color="auto" w:fill="FFFFFF"/>
        <w:spacing w:beforeAutospacing="0" w:afterAutospacing="0"/>
        <w:ind w:firstLine="64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已在单位信息公开指南中发布依申请公开收费标准，2022年我单位无收取信息处理费情况。</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 xml:space="preserve">  附件：婺源县城市管理局2022年政府信息公开工作年度报告.docx</w:t>
      </w: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p>
    <w:p>
      <w:pPr>
        <w:pStyle w:val="10"/>
        <w:widowControl/>
        <w:shd w:val="clear" w:color="auto" w:fill="FFFFFF"/>
        <w:spacing w:beforeAutospacing="0" w:afterAutospacing="0" w:line="510" w:lineRule="atLeast"/>
        <w:ind w:firstLine="620"/>
        <w:jc w:val="both"/>
        <w:rPr>
          <w:rFonts w:hint="eastAsia" w:ascii="仿宋" w:hAnsi="仿宋" w:eastAsia="仿宋" w:cs="仿宋"/>
          <w:color w:val="000000"/>
          <w:sz w:val="31"/>
          <w:szCs w:val="31"/>
          <w:shd w:val="clear" w:color="auto" w:fill="FFFFFF"/>
          <w:lang w:val="en-US" w:eastAsia="zh-CN"/>
        </w:rPr>
      </w:pPr>
      <w:r>
        <w:rPr>
          <w:rFonts w:hint="eastAsia" w:ascii="仿宋" w:hAnsi="仿宋" w:eastAsia="仿宋" w:cs="仿宋"/>
          <w:color w:val="000000"/>
          <w:sz w:val="31"/>
          <w:szCs w:val="31"/>
          <w:shd w:val="clear" w:color="auto" w:fill="FFFFFF"/>
          <w:lang w:val="en-US" w:eastAsia="zh-CN"/>
        </w:rPr>
        <w:t xml:space="preserve">                           婺源县城市管理局</w:t>
      </w:r>
    </w:p>
    <w:p>
      <w:pPr>
        <w:pStyle w:val="10"/>
        <w:widowControl/>
        <w:shd w:val="clear" w:color="auto" w:fill="FFFFFF"/>
        <w:spacing w:beforeAutospacing="0" w:afterAutospacing="0" w:line="510" w:lineRule="atLeast"/>
        <w:ind w:firstLine="620"/>
        <w:jc w:val="both"/>
        <w:rPr>
          <w:rFonts w:hint="default" w:ascii="仿宋" w:hAnsi="仿宋" w:eastAsia="仿宋" w:cs="仿宋"/>
          <w:color w:val="FF0000"/>
          <w:sz w:val="32"/>
          <w:szCs w:val="32"/>
          <w:shd w:val="clear" w:color="auto" w:fill="FFFFFF"/>
          <w:lang w:val="en-US" w:eastAsia="zh-CN"/>
        </w:rPr>
      </w:pPr>
      <w:r>
        <w:rPr>
          <w:rFonts w:hint="eastAsia" w:ascii="仿宋" w:hAnsi="仿宋" w:eastAsia="仿宋" w:cs="仿宋"/>
          <w:color w:val="000000"/>
          <w:sz w:val="31"/>
          <w:szCs w:val="31"/>
          <w:shd w:val="clear" w:color="auto" w:fill="FFFFFF"/>
          <w:lang w:val="en-US" w:eastAsia="zh-CN"/>
        </w:rPr>
        <w:t xml:space="preserve">                           2023年1月17日</w:t>
      </w:r>
    </w:p>
    <w:sectPr>
      <w:pgSz w:w="11906" w:h="16838"/>
      <w:pgMar w:top="1928" w:right="1587" w:bottom="1701" w:left="1587" w:header="851" w:footer="992" w:gutter="0"/>
      <w:paperSrc w:first="0" w:other="0"/>
      <w:pgBorders>
        <w:top w:val="none" w:color="auto" w:sz="0" w:space="0"/>
        <w:left w:val="none" w:color="auto" w:sz="0" w:space="0"/>
        <w:bottom w:val="none" w:color="auto" w:sz="0" w:space="0"/>
        <w:right w:val="none" w:color="auto" w:sz="0" w:space="0"/>
      </w:pgBorders>
      <w:cols w:space="720" w:num="1"/>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楷体_GB2312">
    <w:altName w:val="楷体"/>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chineseCounting"/>
      <w:lvlText w:val="(%1)"/>
      <w:lvlJc w:val="left"/>
      <w:pPr>
        <w:tabs>
          <w:tab w:val="left" w:pos="312"/>
        </w:tabs>
      </w:pPr>
      <w:rPr>
        <w:rFonts w:hint="eastAsia"/>
      </w:rPr>
    </w:lvl>
  </w:abstractNum>
  <w:abstractNum w:abstractNumId="9">
    <w:nsid w:val="00000009"/>
    <w:multiLevelType w:val="singleLevel"/>
    <w:tmpl w:val="00000009"/>
    <w:lvl w:ilvl="0" w:tentative="1">
      <w:start w:val="2"/>
      <w:numFmt w:val="chineseCounting"/>
      <w:suff w:val="nothing"/>
      <w:lvlText w:val="%1、"/>
      <w:lvlJc w:val="left"/>
      <w:rPr>
        <w:rFonts w:hint="eastAsia"/>
      </w:rPr>
    </w:lvl>
  </w:abstractNum>
  <w:num w:numId="1">
    <w:abstractNumId w:val="0"/>
  </w:num>
  <w:num w:numId="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ind w:firstLine="200" w:firstLineChars="20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eastAsia="宋体" w:cs="黑体"/>
      <w:kern w:val="2"/>
      <w:sz w:val="18"/>
      <w:szCs w:val="18"/>
    </w:rPr>
  </w:style>
  <w:style w:type="character" w:customStyle="1" w:styleId="3">
    <w:name w:val="页脚 Char"/>
    <w:basedOn w:val="4"/>
    <w:link w:val="2"/>
    <w:semiHidden/>
    <w:rPr>
      <w:rFonts w:ascii="Calibri" w:hAnsi="Calibri" w:eastAsia="宋体" w:cs="黑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customStyle="1" w:styleId="6">
    <w:name w:val="页眉 Char"/>
    <w:basedOn w:val="4"/>
    <w:link w:val="5"/>
    <w:semiHidden/>
    <w:rPr>
      <w:rFonts w:ascii="Calibri" w:hAnsi="Calibri" w:eastAsia="宋体" w:cs="黑体"/>
      <w:kern w:val="2"/>
      <w:sz w:val="18"/>
      <w:szCs w:val="18"/>
    </w:rPr>
  </w:style>
  <w:style w:type="character" w:styleId="7">
    <w:name w:val="FollowedHyperlink"/>
    <w:basedOn w:val="4"/>
    <w:rPr>
      <w:color w:val="333333"/>
      <w:u w:val="none"/>
    </w:rPr>
  </w:style>
  <w:style w:type="character" w:styleId="8">
    <w:name w:val="Hyperlink"/>
    <w:basedOn w:val="4"/>
    <w:rPr>
      <w:color w:val="333333"/>
      <w:u w:val="none"/>
    </w:rPr>
  </w:style>
  <w:style w:type="paragraph" w:customStyle="1" w:styleId="9">
    <w:name w:val="批注框文本 Char Char"/>
    <w:basedOn w:val="1"/>
    <w:link w:val="12"/>
    <w:rPr>
      <w:rFonts w:ascii="Calibri" w:hAnsi="Calibri" w:eastAsia="宋体" w:cs="黑体"/>
      <w:kern w:val="2"/>
      <w:sz w:val="18"/>
      <w:szCs w:val="18"/>
    </w:rPr>
  </w:style>
  <w:style w:type="paragraph" w:customStyle="1" w:styleId="10">
    <w:name w:val="Normal (Web)"/>
    <w:basedOn w:val="1"/>
    <w:pPr>
      <w:spacing w:beforeAutospacing="1" w:afterAutospacing="1"/>
      <w:jc w:val="left"/>
    </w:pPr>
    <w:rPr>
      <w:rFonts w:cs="Times New Roman"/>
      <w:kern w:val="0"/>
      <w:sz w:val="24"/>
    </w:rPr>
  </w:style>
  <w:style w:type="paragraph" w:customStyle="1" w:styleId="11">
    <w:name w:val="p"/>
    <w:basedOn w:val="1"/>
    <w:pPr>
      <w:widowControl/>
      <w:spacing w:before="100" w:beforeAutospacing="1" w:after="100" w:afterAutospacing="1"/>
      <w:jc w:val="left"/>
    </w:pPr>
    <w:rPr>
      <w:rFonts w:ascii="宋体" w:hAnsi="宋体" w:eastAsia="宋体" w:cs="宋体"/>
      <w:kern w:val="0"/>
      <w:sz w:val="24"/>
    </w:rPr>
  </w:style>
  <w:style w:type="character" w:customStyle="1" w:styleId="12">
    <w:name w:val="批注框文本 Char Char Char Char"/>
    <w:basedOn w:val="4"/>
    <w:link w:val="9"/>
    <w:semiHidden/>
    <w:rPr>
      <w:rFonts w:ascii="Calibri" w:hAnsi="Calibri" w:eastAsia="宋体" w:cs="黑体"/>
      <w:kern w:val="2"/>
      <w:sz w:val="18"/>
      <w:szCs w:val="18"/>
    </w:rPr>
  </w:style>
  <w:style w:type="character" w:customStyle="1" w:styleId="13">
    <w:name w:val="hover14"/>
    <w:basedOn w:val="4"/>
    <w:rPr>
      <w:shd w:val="clear" w:color="auto" w:fill="929292"/>
    </w:rPr>
  </w:style>
  <w:style w:type="character" w:customStyle="1" w:styleId="14">
    <w:name w:val="article-icon"/>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2971</Words>
  <Characters>522</Characters>
  <Lines>4</Lines>
  <Paragraphs>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2021-01-09T01:14:00Z</dcterms:created>
  <dc:creator>Administrator</dc:creator>
  <dcterms:modified xsi:type="dcterms:W3CDTF">2023-01-17T17:24:41Z</dcterms:modified>
  <dc:title>WPS_1528003144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27BF3EF3799749D1A85DAE3CC1D64587</vt:lpwstr>
  </property>
</Properties>
</file>