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sz w:val="36"/>
          <w:szCs w:val="36"/>
          <w:lang w:val="en-US" w:eastAsia="zh-CN"/>
        </w:rPr>
      </w:pPr>
      <w:r>
        <w:rPr>
          <w:rFonts w:hint="eastAsia" w:eastAsia="仿宋_GB2312" w:cs="Times New Roman"/>
          <w:sz w:val="36"/>
          <w:szCs w:val="36"/>
          <w:lang w:val="en-US" w:eastAsia="zh-CN"/>
        </w:rPr>
        <w:t xml:space="preserve"> </w:t>
      </w:r>
    </w:p>
    <w:p>
      <w:pPr>
        <w:pStyle w:val="26"/>
        <w:rPr>
          <w:rFonts w:hint="default" w:ascii="Times New Roman" w:hAnsi="Times New Roman" w:eastAsia="仿宋_GB2312" w:cs="Times New Roman"/>
          <w:sz w:val="36"/>
          <w:szCs w:val="36"/>
        </w:rPr>
      </w:pPr>
    </w:p>
    <w:p>
      <w:pPr>
        <w:pStyle w:val="26"/>
        <w:rPr>
          <w:rFonts w:hint="default" w:ascii="Times New Roman" w:hAnsi="Times New Roman" w:eastAsia="仿宋_GB2312" w:cs="Times New Roman"/>
          <w:sz w:val="36"/>
          <w:szCs w:val="36"/>
        </w:rPr>
      </w:pPr>
    </w:p>
    <w:p>
      <w:pPr>
        <w:pStyle w:val="26"/>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rPr>
          <w:rFonts w:hint="default" w:ascii="Times New Roman" w:hAnsi="Times New Roman" w:eastAsia="仿宋_GB2312" w:cs="Times New Roman"/>
          <w:sz w:val="36"/>
          <w:szCs w:val="36"/>
        </w:rPr>
      </w:pPr>
    </w:p>
    <w:p>
      <w:pPr>
        <w:keepNext w:val="0"/>
        <w:keepLines w:val="0"/>
        <w:pageBreakBefore w:val="0"/>
        <w:widowControl w:val="0"/>
        <w:kinsoku/>
        <w:wordWrap/>
        <w:overflowPunct/>
        <w:topLinePunct w:val="0"/>
        <w:autoSpaceDE w:val="0"/>
        <w:autoSpaceDN w:val="0"/>
        <w:bidi w:val="0"/>
        <w:adjustRightInd/>
        <w:snapToGrid/>
        <w:spacing w:before="57" w:line="240" w:lineRule="auto"/>
        <w:ind w:left="0" w:firstLine="0" w:firstLineChars="0"/>
        <w:jc w:val="center"/>
        <w:textAlignment w:val="auto"/>
        <w:rPr>
          <w:rFonts w:hint="default" w:ascii="Times New Roman" w:hAnsi="Times New Roman" w:eastAsia="微软雅黑" w:cs="Times New Roman"/>
          <w:kern w:val="0"/>
          <w:sz w:val="72"/>
          <w:szCs w:val="22"/>
          <w:lang w:val="zh-CN" w:bidi="zh-CN"/>
        </w:rPr>
      </w:pPr>
      <w:r>
        <w:rPr>
          <w:rFonts w:hint="default" w:ascii="Times New Roman" w:hAnsi="Times New Roman" w:eastAsia="微软雅黑" w:cs="Times New Roman"/>
          <w:kern w:val="0"/>
          <w:sz w:val="72"/>
          <w:szCs w:val="22"/>
          <w:lang w:val="zh-CN" w:bidi="zh-CN"/>
        </w:rPr>
        <w:t>建设项目环境影响报告表</w:t>
      </w:r>
    </w:p>
    <w:p>
      <w:pPr>
        <w:keepNext w:val="0"/>
        <w:keepLines w:val="0"/>
        <w:pageBreakBefore w:val="0"/>
        <w:widowControl w:val="0"/>
        <w:kinsoku/>
        <w:wordWrap/>
        <w:overflowPunct/>
        <w:topLinePunct w:val="0"/>
        <w:autoSpaceDE/>
        <w:autoSpaceDN/>
        <w:bidi w:val="0"/>
        <w:adjustRightInd/>
        <w:snapToGrid/>
        <w:spacing w:before="149"/>
        <w:ind w:left="0" w:firstLine="0" w:firstLineChars="0"/>
        <w:jc w:val="center"/>
        <w:textAlignment w:val="auto"/>
        <w:rPr>
          <w:rFonts w:hint="default" w:ascii="Times New Roman" w:hAnsi="Times New Roman" w:eastAsia="楷体" w:cs="Times New Roman"/>
          <w:sz w:val="48"/>
        </w:rPr>
      </w:pPr>
      <w:r>
        <w:rPr>
          <w:rFonts w:hint="default" w:ascii="Times New Roman" w:hAnsi="Times New Roman" w:eastAsia="楷体" w:cs="Times New Roman"/>
          <w:sz w:val="48"/>
        </w:rPr>
        <w:t>（污染影响类）</w:t>
      </w:r>
    </w:p>
    <w:p>
      <w:pPr>
        <w:pStyle w:val="4"/>
        <w:ind w:firstLine="643"/>
        <w:rPr>
          <w:rFonts w:hint="default" w:ascii="Times New Roman" w:hAnsi="Times New Roman" w:cs="Times New Roman"/>
          <w:lang w:val="zh-CN"/>
        </w:rPr>
      </w:pPr>
    </w:p>
    <w:p>
      <w:pPr>
        <w:adjustRightInd w:val="0"/>
        <w:snapToGrid w:val="0"/>
        <w:spacing w:line="288" w:lineRule="auto"/>
        <w:ind w:firstLine="880"/>
        <w:jc w:val="center"/>
        <w:rPr>
          <w:rFonts w:hint="default" w:ascii="Times New Roman" w:hAnsi="Times New Roman" w:eastAsia="华文仿宋" w:cs="Times New Roman"/>
          <w:color w:val="000000"/>
          <w:kern w:val="44"/>
          <w:sz w:val="44"/>
          <w:szCs w:val="44"/>
        </w:rPr>
      </w:pPr>
    </w:p>
    <w:p>
      <w:pPr>
        <w:ind w:firstLine="1040"/>
        <w:jc w:val="center"/>
        <w:rPr>
          <w:rFonts w:hint="default" w:ascii="Times New Roman" w:hAnsi="Times New Roman" w:eastAsia="仿宋" w:cs="Times New Roman"/>
          <w:sz w:val="52"/>
          <w:szCs w:val="52"/>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ind w:firstLine="880"/>
        <w:rPr>
          <w:rFonts w:hint="default" w:ascii="Times New Roman" w:hAnsi="Times New Roman" w:eastAsia="仿宋" w:cs="Times New Roman"/>
          <w:sz w:val="44"/>
          <w:szCs w:val="44"/>
        </w:rPr>
      </w:pPr>
    </w:p>
    <w:p>
      <w:pPr>
        <w:adjustRightInd w:val="0"/>
        <w:snapToGrid w:val="0"/>
        <w:spacing w:line="288" w:lineRule="auto"/>
        <w:jc w:val="center"/>
        <w:rPr>
          <w:rFonts w:hint="default" w:ascii="Times New Roman" w:hAnsi="Times New Roman" w:eastAsia="仿宋_GB2312" w:cs="Times New Roman"/>
          <w:sz w:val="36"/>
          <w:szCs w:val="36"/>
          <w:u w:val="single"/>
          <w:lang w:val="en-US" w:eastAsia="zh-CN"/>
        </w:rPr>
      </w:pPr>
      <w:r>
        <w:rPr>
          <w:rFonts w:hint="default" w:ascii="Times New Roman" w:hAnsi="Times New Roman" w:eastAsia="仿宋_GB2312" w:cs="Times New Roman"/>
          <w:sz w:val="36"/>
          <w:szCs w:val="36"/>
        </w:rPr>
        <w:t xml:space="preserve">项目名称： </w:t>
      </w:r>
      <w:r>
        <w:rPr>
          <w:rFonts w:hint="eastAsia" w:eastAsia="仿宋_GB2312" w:cs="Times New Roman"/>
          <w:sz w:val="36"/>
          <w:szCs w:val="36"/>
          <w:u w:val="single"/>
          <w:lang w:eastAsia="zh-CN"/>
        </w:rPr>
        <w:t>年产</w:t>
      </w:r>
      <w:r>
        <w:rPr>
          <w:rFonts w:hint="eastAsia" w:eastAsia="仿宋_GB2312" w:cs="Times New Roman"/>
          <w:sz w:val="36"/>
          <w:szCs w:val="36"/>
          <w:u w:val="single"/>
          <w:lang w:val="en-US" w:eastAsia="zh-CN"/>
        </w:rPr>
        <w:t>2万吨生物可降解塑料制品项目</w:t>
      </w:r>
    </w:p>
    <w:p>
      <w:pPr>
        <w:adjustRightInd w:val="0"/>
        <w:snapToGrid w:val="0"/>
        <w:spacing w:line="288" w:lineRule="auto"/>
        <w:jc w:val="center"/>
        <w:rPr>
          <w:rFonts w:hint="eastAsia" w:ascii="Times New Roman" w:hAnsi="Times New Roman" w:eastAsia="仿宋_GB2312" w:cs="Times New Roman"/>
          <w:sz w:val="36"/>
          <w:szCs w:val="36"/>
          <w:u w:val="single"/>
          <w:lang w:eastAsia="zh-CN"/>
        </w:rPr>
      </w:pPr>
      <w:r>
        <w:rPr>
          <w:rFonts w:hint="default" w:ascii="Times New Roman" w:hAnsi="Times New Roman" w:eastAsia="仿宋_GB2312" w:cs="Times New Roman"/>
          <w:sz w:val="36"/>
          <w:szCs w:val="36"/>
        </w:rPr>
        <w:t>建设单位（盖章）：</w:t>
      </w:r>
      <w:r>
        <w:rPr>
          <w:rFonts w:hint="eastAsia" w:eastAsia="仿宋_GB2312" w:cs="Times New Roman"/>
          <w:sz w:val="36"/>
          <w:szCs w:val="36"/>
          <w:u w:val="single"/>
          <w:lang w:eastAsia="zh-CN"/>
        </w:rPr>
        <w:t>江西龙群环保科技有限公司</w:t>
      </w:r>
    </w:p>
    <w:p>
      <w:pPr>
        <w:adjustRightInd w:val="0"/>
        <w:snapToGrid w:val="0"/>
        <w:spacing w:line="288" w:lineRule="auto"/>
        <w:ind w:firstLine="1800" w:firstLineChars="500"/>
        <w:rPr>
          <w:rFonts w:hint="default" w:ascii="Times New Roman" w:hAnsi="Times New Roman" w:eastAsia="仿宋_GB2312" w:cs="Times New Roman"/>
          <w:sz w:val="36"/>
          <w:szCs w:val="36"/>
          <w:u w:val="single"/>
        </w:rPr>
      </w:pPr>
      <w:r>
        <w:rPr>
          <w:rFonts w:hint="default" w:ascii="Times New Roman" w:hAnsi="Times New Roman" w:eastAsia="仿宋_GB2312" w:cs="Times New Roman"/>
          <w:sz w:val="36"/>
          <w:szCs w:val="36"/>
        </w:rPr>
        <w:t>编制日期：</w:t>
      </w:r>
      <w:r>
        <w:rPr>
          <w:rFonts w:hint="default" w:ascii="Times New Roman" w:hAnsi="Times New Roman" w:eastAsia="仿宋_GB2312" w:cs="Times New Roman"/>
          <w:sz w:val="36"/>
          <w:szCs w:val="36"/>
          <w:u w:val="single"/>
        </w:rPr>
        <w:t xml:space="preserve">        二〇二</w:t>
      </w:r>
      <w:r>
        <w:rPr>
          <w:rFonts w:hint="eastAsia" w:eastAsia="仿宋_GB2312" w:cs="Times New Roman"/>
          <w:sz w:val="36"/>
          <w:szCs w:val="36"/>
          <w:u w:val="single"/>
          <w:lang w:eastAsia="zh-CN"/>
        </w:rPr>
        <w:t>二</w:t>
      </w:r>
      <w:r>
        <w:rPr>
          <w:rFonts w:hint="default" w:ascii="Times New Roman" w:hAnsi="Times New Roman" w:eastAsia="仿宋_GB2312" w:cs="Times New Roman"/>
          <w:sz w:val="36"/>
          <w:szCs w:val="36"/>
          <w:u w:val="single"/>
        </w:rPr>
        <w:t>年</w:t>
      </w:r>
      <w:r>
        <w:rPr>
          <w:rFonts w:hint="eastAsia" w:eastAsia="仿宋_GB2312" w:cs="Times New Roman"/>
          <w:sz w:val="36"/>
          <w:szCs w:val="36"/>
          <w:u w:val="single"/>
          <w:lang w:eastAsia="zh-CN"/>
        </w:rPr>
        <w:t>五</w:t>
      </w:r>
      <w:r>
        <w:rPr>
          <w:rFonts w:hint="default" w:ascii="Times New Roman" w:hAnsi="Times New Roman" w:eastAsia="仿宋_GB2312" w:cs="Times New Roman"/>
          <w:sz w:val="36"/>
          <w:szCs w:val="36"/>
          <w:u w:val="single"/>
        </w:rPr>
        <w:t>月</w:t>
      </w:r>
      <w:bookmarkStart w:id="0" w:name="_Hlk57884087"/>
      <w:r>
        <w:rPr>
          <w:rFonts w:hint="default" w:ascii="Times New Roman" w:hAnsi="Times New Roman" w:eastAsia="仿宋_GB2312" w:cs="Times New Roman"/>
          <w:sz w:val="36"/>
          <w:szCs w:val="36"/>
          <w:u w:val="single"/>
        </w:rPr>
        <w:t xml:space="preserve">      </w:t>
      </w:r>
    </w:p>
    <w:p>
      <w:pPr>
        <w:adjustRightInd w:val="0"/>
        <w:snapToGrid w:val="0"/>
        <w:spacing w:line="288" w:lineRule="auto"/>
        <w:rPr>
          <w:rFonts w:hint="default" w:ascii="Times New Roman" w:hAnsi="Times New Roman" w:eastAsia="仿宋_GB2312" w:cs="Times New Roman"/>
          <w:sz w:val="36"/>
          <w:szCs w:val="36"/>
        </w:rPr>
      </w:pPr>
    </w:p>
    <w:bookmarkEnd w:id="0"/>
    <w:p>
      <w:pPr>
        <w:adjustRightInd w:val="0"/>
        <w:snapToGrid w:val="0"/>
        <w:spacing w:line="288" w:lineRule="auto"/>
        <w:jc w:val="center"/>
        <w:rPr>
          <w:rFonts w:hint="default" w:ascii="Times New Roman" w:hAnsi="Times New Roman" w:eastAsia="楷体_GB2312" w:cs="Times New Roman"/>
          <w:sz w:val="36"/>
          <w:szCs w:val="36"/>
        </w:rPr>
      </w:pPr>
      <w:r>
        <w:rPr>
          <w:rFonts w:hint="default" w:ascii="Times New Roman" w:hAnsi="Times New Roman" w:eastAsia="楷体_GB2312" w:cs="Times New Roman"/>
          <w:sz w:val="36"/>
          <w:szCs w:val="36"/>
        </w:rPr>
        <w:t>中华人民共和国生态环境部制</w:t>
      </w:r>
    </w:p>
    <w:p>
      <w:pPr>
        <w:adjustRightInd w:val="0"/>
        <w:snapToGrid w:val="0"/>
        <w:spacing w:line="288" w:lineRule="auto"/>
        <w:rPr>
          <w:rFonts w:hint="default" w:ascii="Times New Roman" w:hAnsi="Times New Roman" w:eastAsia="仿宋_GB2312" w:cs="Times New Roman"/>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5"/>
        <w:ind w:firstLine="562"/>
        <w:rPr>
          <w:rFonts w:hint="default" w:ascii="Times New Roman" w:hAnsi="Times New Roman" w:cs="Times New Roman"/>
        </w:rPr>
        <w:sectPr>
          <w:headerReference r:id="rId11" w:type="default"/>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spacing w:line="360" w:lineRule="auto"/>
        <w:ind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目录</w:t>
      </w:r>
    </w:p>
    <w:p>
      <w:pPr>
        <w:pStyle w:val="16"/>
        <w:tabs>
          <w:tab w:val="right" w:leader="dot" w:pos="8722"/>
        </w:tabs>
        <w:ind w:firstLine="560"/>
        <w:rPr>
          <w:rFonts w:hint="default" w:ascii="Times New Roman" w:hAnsi="Times New Roman" w:cs="Times New Roma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TOC \o "1-1" \h \u </w:instrText>
      </w:r>
      <w:r>
        <w:rPr>
          <w:rFonts w:hint="default" w:ascii="Times New Roman" w:hAnsi="Times New Roman" w:cs="Times New Roman"/>
          <w:sz w:val="28"/>
          <w:szCs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"_Toc71538796" </w:instrText>
      </w:r>
      <w:r>
        <w:rPr>
          <w:rFonts w:hint="default" w:ascii="Times New Roman" w:hAnsi="Times New Roman" w:cs="Times New Roman"/>
        </w:rPr>
        <w:fldChar w:fldCharType="separate"/>
      </w:r>
      <w:r>
        <w:rPr>
          <w:rStyle w:val="24"/>
          <w:rFonts w:hint="default" w:ascii="Times New Roman" w:hAnsi="Times New Roman" w:cs="Times New Roman"/>
          <w:snapToGrid w:val="0"/>
        </w:rPr>
        <w:t>一、建设项目基本情况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_Toc71538796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"_Toc71538797" </w:instrText>
      </w:r>
      <w:r>
        <w:rPr>
          <w:rFonts w:hint="default" w:ascii="Times New Roman" w:hAnsi="Times New Roman" w:cs="Times New Roman"/>
        </w:rPr>
        <w:fldChar w:fldCharType="separate"/>
      </w:r>
      <w:r>
        <w:rPr>
          <w:rStyle w:val="24"/>
          <w:rFonts w:hint="default" w:ascii="Times New Roman" w:hAnsi="Times New Roman" w:cs="Times New Roman"/>
          <w:snapToGrid w:val="0"/>
        </w:rPr>
        <w:t>二、建设项目工程分析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_Toc71538797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"_Toc71538798" </w:instrText>
      </w:r>
      <w:r>
        <w:rPr>
          <w:rFonts w:hint="default" w:ascii="Times New Roman" w:hAnsi="Times New Roman" w:cs="Times New Roman"/>
        </w:rPr>
        <w:fldChar w:fldCharType="separate"/>
      </w:r>
      <w:r>
        <w:rPr>
          <w:rStyle w:val="24"/>
          <w:rFonts w:hint="default" w:ascii="Times New Roman" w:hAnsi="Times New Roman" w:cs="Times New Roman"/>
          <w:snapToGrid w:val="0"/>
        </w:rPr>
        <w:t>三、区域环境质量现状、环境保护目标及评价标准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_Toc71538798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"_Toc71538799" </w:instrText>
      </w:r>
      <w:r>
        <w:rPr>
          <w:rFonts w:hint="default" w:ascii="Times New Roman" w:hAnsi="Times New Roman" w:cs="Times New Roman"/>
        </w:rPr>
        <w:fldChar w:fldCharType="separate"/>
      </w:r>
      <w:r>
        <w:rPr>
          <w:rStyle w:val="24"/>
          <w:rFonts w:hint="default" w:ascii="Times New Roman" w:hAnsi="Times New Roman" w:cs="Times New Roman"/>
          <w:snapToGrid w:val="0"/>
        </w:rPr>
        <w:t>四、主要环境影响和保护措施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_Toc71538799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"_Toc71538800" </w:instrText>
      </w:r>
      <w:r>
        <w:rPr>
          <w:rFonts w:hint="default" w:ascii="Times New Roman" w:hAnsi="Times New Roman" w:cs="Times New Roman"/>
        </w:rPr>
        <w:fldChar w:fldCharType="separate"/>
      </w:r>
      <w:r>
        <w:rPr>
          <w:rStyle w:val="24"/>
          <w:rFonts w:hint="default" w:ascii="Times New Roman" w:hAnsi="Times New Roman" w:cs="Times New Roman"/>
          <w:snapToGrid w:val="0"/>
        </w:rPr>
        <w:t>五、环境保护措施监督检查清单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_Toc71538800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6"/>
        <w:tabs>
          <w:tab w:val="right" w:leader="dot" w:pos="8722"/>
        </w:tabs>
        <w:ind w:firstLine="48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"_Toc71538801" </w:instrText>
      </w:r>
      <w:r>
        <w:rPr>
          <w:rFonts w:hint="default" w:ascii="Times New Roman" w:hAnsi="Times New Roman" w:cs="Times New Roman"/>
        </w:rPr>
        <w:fldChar w:fldCharType="separate"/>
      </w:r>
      <w:r>
        <w:rPr>
          <w:rStyle w:val="24"/>
          <w:rFonts w:hint="default" w:ascii="Times New Roman" w:hAnsi="Times New Roman" w:cs="Times New Roman"/>
          <w:snapToGrid w:val="0"/>
        </w:rPr>
        <w:t>六、结论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_Toc71538801 \h </w:instrText>
      </w:r>
      <w:r>
        <w:rPr>
          <w:rFonts w:hint="default" w:ascii="Times New Roman" w:hAnsi="Times New Roman" w:cs="Times New Roman"/>
        </w:rPr>
        <w:fldChar w:fldCharType="separate"/>
      </w:r>
      <w:r>
        <w:rPr>
          <w:rFonts w:hint="default" w:ascii="Times New Roman" w:hAnsi="Times New Roman" w:cs="Times New Roman"/>
        </w:rPr>
        <w:t>38</w:t>
      </w:r>
      <w:r>
        <w:rPr>
          <w:rFonts w:hint="default" w:ascii="Times New Roman" w:hAnsi="Times New Roman" w:cs="Times New Roman"/>
        </w:rPr>
        <w:fldChar w:fldCharType="end"/>
      </w:r>
      <w:r>
        <w:rPr>
          <w:rFonts w:hint="default" w:ascii="Times New Roman" w:hAnsi="Times New Roman" w:cs="Times New Roman"/>
        </w:rPr>
        <w:fldChar w:fldCharType="end"/>
      </w:r>
    </w:p>
    <w:p>
      <w:pPr>
        <w:ind w:firstLine="0" w:firstLineChars="0"/>
        <w:rPr>
          <w:rFonts w:hint="default" w:ascii="Times New Roman" w:hAnsi="Times New Roman" w:cs="Times New Roman"/>
        </w:rPr>
      </w:pPr>
      <w:r>
        <w:rPr>
          <w:rFonts w:hint="default" w:ascii="Times New Roman" w:hAnsi="Times New Roman" w:cs="Times New Roman"/>
          <w:sz w:val="28"/>
          <w:szCs w:val="28"/>
        </w:rPr>
        <w:fldChar w:fldCharType="end"/>
      </w:r>
      <w:r>
        <w:rPr>
          <w:rFonts w:hint="default" w:ascii="Times New Roman" w:hAnsi="Times New Roman" w:cs="Times New Roman"/>
        </w:rPr>
        <w:t>附图：</w:t>
      </w:r>
    </w:p>
    <w:p>
      <w:pPr>
        <w:ind w:firstLine="480"/>
        <w:rPr>
          <w:rFonts w:hint="default" w:ascii="Times New Roman" w:hAnsi="Times New Roman" w:cs="Times New Roman"/>
        </w:rPr>
      </w:pPr>
      <w:r>
        <w:rPr>
          <w:rFonts w:hint="default" w:ascii="Times New Roman" w:hAnsi="Times New Roman" w:cs="Times New Roman"/>
        </w:rPr>
        <w:t>附图一：建设项目地理位置图</w:t>
      </w:r>
    </w:p>
    <w:p>
      <w:pPr>
        <w:ind w:firstLine="480"/>
        <w:rPr>
          <w:rFonts w:hint="default" w:ascii="Times New Roman" w:hAnsi="Times New Roman" w:cs="Times New Roman"/>
        </w:rPr>
      </w:pPr>
      <w:r>
        <w:rPr>
          <w:rFonts w:hint="default" w:ascii="Times New Roman" w:hAnsi="Times New Roman" w:cs="Times New Roman"/>
        </w:rPr>
        <w:t>附图二：建设项目平面布置图</w:t>
      </w:r>
    </w:p>
    <w:p>
      <w:pPr>
        <w:ind w:firstLine="480"/>
        <w:rPr>
          <w:rFonts w:hint="eastAsia" w:ascii="Times New Roman" w:hAnsi="Times New Roman" w:eastAsia="宋体" w:cs="Times New Roman"/>
          <w:lang w:eastAsia="zh-CN"/>
        </w:rPr>
      </w:pPr>
      <w:r>
        <w:rPr>
          <w:rFonts w:hint="default" w:ascii="Times New Roman" w:hAnsi="Times New Roman" w:cs="Times New Roman"/>
        </w:rPr>
        <w:t>附图三：</w:t>
      </w:r>
      <w:r>
        <w:rPr>
          <w:rFonts w:hint="eastAsia" w:cs="Times New Roman"/>
          <w:lang w:eastAsia="zh-CN"/>
        </w:rPr>
        <w:t>建设项目敏感点分布图</w:t>
      </w:r>
    </w:p>
    <w:p>
      <w:pPr>
        <w:ind w:firstLine="480"/>
        <w:rPr>
          <w:rFonts w:hint="default" w:ascii="Times New Roman" w:hAnsi="Times New Roman" w:cs="Times New Roman"/>
          <w:lang w:eastAsia="zh-CN"/>
        </w:rPr>
      </w:pPr>
      <w:r>
        <w:rPr>
          <w:rFonts w:hint="default" w:ascii="Times New Roman" w:hAnsi="Times New Roman" w:cs="Times New Roman"/>
          <w:lang w:eastAsia="zh-CN"/>
        </w:rPr>
        <w:t>附图四：</w:t>
      </w:r>
      <w:r>
        <w:rPr>
          <w:rFonts w:hint="eastAsia" w:cs="Times New Roman"/>
          <w:lang w:eastAsia="zh-CN"/>
        </w:rPr>
        <w:t>卫生防护距离图</w:t>
      </w:r>
    </w:p>
    <w:p>
      <w:pPr>
        <w:ind w:firstLine="480"/>
        <w:rPr>
          <w:rFonts w:hint="eastAsia" w:ascii="Times New Roman" w:hAnsi="Times New Roman" w:cs="Times New Roman"/>
          <w:lang w:eastAsia="zh-CN"/>
        </w:rPr>
      </w:pPr>
      <w:r>
        <w:rPr>
          <w:rFonts w:hint="eastAsia" w:cs="Times New Roman"/>
          <w:lang w:eastAsia="zh-CN"/>
        </w:rPr>
        <w:t>附图五：婺源县环境管控单元分类图</w:t>
      </w:r>
    </w:p>
    <w:p>
      <w:pPr>
        <w:ind w:firstLine="480"/>
        <w:rPr>
          <w:rFonts w:hint="eastAsia" w:cs="Times New Roman"/>
          <w:lang w:eastAsia="zh-CN"/>
        </w:rPr>
      </w:pPr>
      <w:r>
        <w:rPr>
          <w:rFonts w:hint="eastAsia" w:ascii="Times New Roman" w:hAnsi="Times New Roman" w:cs="Times New Roman"/>
          <w:lang w:eastAsia="zh-CN"/>
        </w:rPr>
        <w:t>附图</w:t>
      </w:r>
      <w:r>
        <w:rPr>
          <w:rFonts w:hint="eastAsia" w:cs="Times New Roman"/>
          <w:lang w:eastAsia="zh-CN"/>
        </w:rPr>
        <w:t>六</w:t>
      </w:r>
      <w:r>
        <w:rPr>
          <w:rFonts w:hint="eastAsia" w:ascii="Times New Roman" w:hAnsi="Times New Roman" w:cs="Times New Roman"/>
          <w:lang w:eastAsia="zh-CN"/>
        </w:rPr>
        <w:t>：</w:t>
      </w:r>
      <w:r>
        <w:rPr>
          <w:rFonts w:hint="eastAsia" w:cs="Times New Roman"/>
          <w:lang w:eastAsia="zh-CN"/>
        </w:rPr>
        <w:t>园区规划图</w:t>
      </w:r>
    </w:p>
    <w:p>
      <w:pPr>
        <w:ind w:firstLine="480"/>
        <w:rPr>
          <w:rFonts w:hint="eastAsia" w:ascii="Times New Roman" w:hAnsi="Times New Roman" w:cs="Times New Roman"/>
          <w:lang w:eastAsia="zh-CN"/>
        </w:rPr>
      </w:pPr>
      <w:r>
        <w:rPr>
          <w:rFonts w:hint="eastAsia" w:ascii="Times New Roman" w:hAnsi="Times New Roman" w:cs="Times New Roman"/>
          <w:lang w:eastAsia="zh-CN"/>
        </w:rPr>
        <w:t>附图七：污水排放路径图</w:t>
      </w:r>
    </w:p>
    <w:p>
      <w:pPr>
        <w:ind w:firstLine="480"/>
        <w:rPr>
          <w:rFonts w:hint="eastAsia" w:ascii="Times New Roman" w:hAnsi="Times New Roman" w:cs="Times New Roman"/>
          <w:lang w:eastAsia="zh-CN"/>
        </w:rPr>
      </w:pPr>
      <w:r>
        <w:rPr>
          <w:rFonts w:hint="eastAsia" w:ascii="Times New Roman" w:hAnsi="Times New Roman" w:cs="Times New Roman"/>
          <w:lang w:eastAsia="zh-CN"/>
        </w:rPr>
        <w:t>附图八：厂区内雨污管网分布情况</w:t>
      </w:r>
    </w:p>
    <w:p>
      <w:pPr>
        <w:ind w:firstLine="480"/>
        <w:rPr>
          <w:rFonts w:hint="eastAsia" w:ascii="Times New Roman" w:hAnsi="Times New Roman" w:cs="Times New Roman"/>
          <w:lang w:eastAsia="zh-CN"/>
        </w:rPr>
      </w:pPr>
      <w:r>
        <w:rPr>
          <w:rFonts w:hint="eastAsia" w:ascii="Times New Roman" w:hAnsi="Times New Roman" w:cs="Times New Roman"/>
          <w:lang w:eastAsia="zh-CN"/>
        </w:rPr>
        <w:t>附图九：监测布点图</w:t>
      </w:r>
    </w:p>
    <w:p>
      <w:pPr>
        <w:ind w:firstLine="0" w:firstLineChars="0"/>
        <w:rPr>
          <w:rFonts w:hint="default" w:ascii="Times New Roman" w:hAnsi="Times New Roman" w:cs="Times New Roman"/>
        </w:rPr>
      </w:pPr>
      <w:r>
        <w:rPr>
          <w:rFonts w:hint="default" w:ascii="Times New Roman" w:hAnsi="Times New Roman" w:cs="Times New Roman"/>
        </w:rPr>
        <w:t>附件：</w:t>
      </w:r>
    </w:p>
    <w:p>
      <w:pPr>
        <w:ind w:firstLine="480"/>
        <w:rPr>
          <w:rFonts w:hint="default" w:ascii="Times New Roman" w:hAnsi="Times New Roman" w:cs="Times New Roman"/>
        </w:rPr>
      </w:pPr>
      <w:r>
        <w:rPr>
          <w:rFonts w:hint="default" w:ascii="Times New Roman" w:hAnsi="Times New Roman" w:cs="Times New Roman"/>
        </w:rPr>
        <w:t>附件一：委托书</w:t>
      </w:r>
    </w:p>
    <w:p>
      <w:pPr>
        <w:ind w:firstLine="480"/>
        <w:rPr>
          <w:rFonts w:hint="default" w:ascii="Times New Roman" w:hAnsi="Times New Roman" w:cs="Times New Roman"/>
        </w:rPr>
      </w:pPr>
      <w:r>
        <w:rPr>
          <w:rFonts w:hint="default" w:ascii="Times New Roman" w:hAnsi="Times New Roman" w:cs="Times New Roman"/>
        </w:rPr>
        <w:t>附件二：项目备案通知书</w:t>
      </w:r>
    </w:p>
    <w:p>
      <w:pPr>
        <w:ind w:firstLine="480"/>
        <w:rPr>
          <w:rFonts w:hint="eastAsia" w:ascii="Times New Roman" w:hAnsi="Times New Roman" w:eastAsia="宋体" w:cs="Times New Roman"/>
          <w:lang w:eastAsia="zh-CN"/>
        </w:rPr>
      </w:pPr>
      <w:r>
        <w:rPr>
          <w:rFonts w:hint="default" w:ascii="Times New Roman" w:hAnsi="Times New Roman" w:cs="Times New Roman"/>
        </w:rPr>
        <w:t>附件三：</w:t>
      </w:r>
      <w:r>
        <w:rPr>
          <w:rFonts w:hint="eastAsia" w:cs="Times New Roman"/>
          <w:lang w:eastAsia="zh-CN"/>
        </w:rPr>
        <w:t>营业执照</w:t>
      </w:r>
    </w:p>
    <w:p>
      <w:pPr>
        <w:ind w:firstLine="480"/>
        <w:rPr>
          <w:rFonts w:hint="eastAsia" w:cs="Times New Roman"/>
          <w:lang w:eastAsia="zh-CN"/>
        </w:rPr>
      </w:pPr>
      <w:r>
        <w:rPr>
          <w:rFonts w:hint="default" w:ascii="Times New Roman" w:hAnsi="Times New Roman" w:cs="Times New Roman"/>
        </w:rPr>
        <w:t>附件四：</w:t>
      </w:r>
      <w:r>
        <w:rPr>
          <w:rFonts w:hint="eastAsia" w:cs="Times New Roman"/>
          <w:lang w:eastAsia="zh-CN"/>
        </w:rPr>
        <w:t>租赁协议</w:t>
      </w:r>
    </w:p>
    <w:p>
      <w:pPr>
        <w:ind w:firstLine="480"/>
        <w:rPr>
          <w:rFonts w:hint="eastAsia" w:ascii="Times New Roman" w:hAnsi="Times New Roman" w:cs="Times New Roman"/>
          <w:lang w:eastAsia="zh-CN"/>
        </w:rPr>
      </w:pPr>
      <w:r>
        <w:rPr>
          <w:rFonts w:hint="eastAsia" w:ascii="Times New Roman" w:hAnsi="Times New Roman" w:cs="Times New Roman"/>
          <w:lang w:eastAsia="zh-CN"/>
        </w:rPr>
        <w:t>附件五：</w:t>
      </w:r>
      <w:r>
        <w:rPr>
          <w:rFonts w:hint="eastAsia" w:cs="Times New Roman"/>
          <w:lang w:eastAsia="zh-CN"/>
        </w:rPr>
        <w:t>房产证</w:t>
      </w:r>
    </w:p>
    <w:p>
      <w:pPr>
        <w:ind w:firstLine="480"/>
        <w:rPr>
          <w:rFonts w:hint="eastAsia" w:cs="Times New Roman"/>
          <w:lang w:eastAsia="zh-CN"/>
        </w:rPr>
      </w:pPr>
      <w:r>
        <w:rPr>
          <w:rFonts w:hint="eastAsia" w:ascii="Times New Roman" w:hAnsi="Times New Roman" w:cs="Times New Roman"/>
          <w:lang w:eastAsia="zh-CN"/>
        </w:rPr>
        <w:t>附件六：</w:t>
      </w:r>
      <w:r>
        <w:rPr>
          <w:rFonts w:hint="eastAsia" w:cs="Times New Roman"/>
          <w:lang w:eastAsia="zh-CN"/>
        </w:rPr>
        <w:t>场地证明</w:t>
      </w:r>
    </w:p>
    <w:p>
      <w:pPr>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附件七：法人身份证</w:t>
      </w:r>
    </w:p>
    <w:p>
      <w:pPr>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附件八：婺源工业园区规划环评批复</w:t>
      </w:r>
    </w:p>
    <w:p>
      <w:pPr>
        <w:ind w:firstLine="480"/>
        <w:rPr>
          <w:rFonts w:hint="eastAsia" w:ascii="Times New Roman" w:hAnsi="Times New Roman" w:eastAsia="宋体" w:cs="Times New Roman"/>
          <w:lang w:eastAsia="zh-CN"/>
        </w:rPr>
      </w:pPr>
      <w:r>
        <w:rPr>
          <w:rFonts w:hint="eastAsia" w:ascii="Times New Roman" w:hAnsi="Times New Roman" w:eastAsia="宋体" w:cs="Times New Roman"/>
          <w:lang w:eastAsia="zh-CN"/>
        </w:rPr>
        <w:t>附件九：标准</w:t>
      </w:r>
    </w:p>
    <w:p>
      <w:pPr>
        <w:tabs>
          <w:tab w:val="right" w:leader="dot" w:pos="8296"/>
        </w:tabs>
        <w:adjustRightInd w:val="0"/>
        <w:snapToGrid w:val="0"/>
        <w:ind w:firstLine="0" w:firstLineChars="0"/>
        <w:rPr>
          <w:rFonts w:hint="default" w:ascii="Times New Roman" w:hAnsi="Times New Roman" w:cs="Times New Roman"/>
          <w:bCs/>
          <w:szCs w:val="22"/>
        </w:rPr>
      </w:pPr>
    </w:p>
    <w:p>
      <w:pPr>
        <w:tabs>
          <w:tab w:val="right" w:leader="dot" w:pos="8296"/>
        </w:tabs>
        <w:adjustRightInd w:val="0"/>
        <w:snapToGrid w:val="0"/>
        <w:ind w:firstLine="0" w:firstLineChars="0"/>
        <w:rPr>
          <w:rFonts w:hint="default" w:ascii="Times New Roman" w:hAnsi="Times New Roman" w:cs="Times New Roman"/>
          <w:bCs/>
          <w:szCs w:val="22"/>
        </w:rPr>
      </w:pPr>
      <w:r>
        <w:rPr>
          <w:rFonts w:hint="default" w:ascii="Times New Roman" w:hAnsi="Times New Roman" w:cs="Times New Roman"/>
          <w:bCs/>
          <w:szCs w:val="22"/>
        </w:rPr>
        <w:t>附表：</w:t>
      </w:r>
    </w:p>
    <w:p>
      <w:pPr>
        <w:ind w:firstLine="480"/>
        <w:rPr>
          <w:rFonts w:hint="default" w:ascii="Times New Roman" w:hAnsi="Times New Roman" w:cs="Times New Roman"/>
        </w:rPr>
        <w:sectPr>
          <w:footerReference r:id="rId12" w:type="first"/>
          <w:pgSz w:w="11906" w:h="16838"/>
          <w:pgMar w:top="1440" w:right="1080" w:bottom="1440" w:left="1080" w:header="851" w:footer="992" w:gutter="0"/>
          <w:pgBorders>
            <w:top w:val="none" w:sz="0" w:space="0"/>
            <w:left w:val="none" w:sz="0" w:space="0"/>
            <w:bottom w:val="none" w:sz="0" w:space="0"/>
            <w:right w:val="none" w:sz="0" w:space="0"/>
          </w:pgBorders>
          <w:pgNumType w:fmt="numberInDash" w:start="1"/>
          <w:cols w:space="720" w:num="1"/>
          <w:titlePg/>
          <w:docGrid w:type="lines" w:linePitch="312" w:charSpace="0"/>
        </w:sectPr>
      </w:pPr>
      <w:bookmarkStart w:id="1" w:name="_Toc1041"/>
      <w:r>
        <w:rPr>
          <w:rFonts w:hint="default" w:ascii="Times New Roman" w:hAnsi="Times New Roman" w:cs="Times New Roman"/>
        </w:rPr>
        <w:t>建设项目污染物排放量汇总表</w:t>
      </w:r>
      <w:bookmarkEnd w:id="1"/>
    </w:p>
    <w:p>
      <w:pPr>
        <w:spacing w:line="360" w:lineRule="auto"/>
        <w:ind w:firstLine="0" w:firstLineChars="0"/>
        <w:jc w:val="center"/>
        <w:rPr>
          <w:rFonts w:hint="default" w:ascii="Times New Roman" w:hAnsi="Times New Roman" w:cs="Times New Roman"/>
        </w:rPr>
        <w:sectPr>
          <w:headerReference r:id="rId13" w:type="default"/>
          <w:footerReference r:id="rId14" w:type="default"/>
          <w:pgSz w:w="11906" w:h="16838"/>
          <w:pgMar w:top="1440" w:right="1080" w:bottom="1440" w:left="1080"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17"/>
        <w:ind w:firstLine="600"/>
        <w:jc w:val="center"/>
        <w:outlineLvl w:val="0"/>
        <w:rPr>
          <w:rFonts w:hint="default" w:ascii="Times New Roman" w:hAnsi="Times New Roman" w:eastAsia="黑体" w:cs="Times New Roman"/>
          <w:snapToGrid w:val="0"/>
          <w:sz w:val="30"/>
          <w:szCs w:val="30"/>
        </w:rPr>
      </w:pPr>
      <w:bookmarkStart w:id="2" w:name="_Toc71538796"/>
      <w:r>
        <w:rPr>
          <w:rFonts w:hint="default" w:ascii="Times New Roman" w:hAnsi="Times New Roman" w:eastAsia="黑体" w:cs="Times New Roman"/>
          <w:snapToGrid w:val="0"/>
          <w:sz w:val="30"/>
          <w:szCs w:val="30"/>
        </w:rPr>
        <w:t>一、建设项目基本情况</w:t>
      </w:r>
      <w:bookmarkEnd w:id="2"/>
    </w:p>
    <w:tbl>
      <w:tblPr>
        <w:tblStyle w:val="20"/>
        <w:tblW w:w="498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16"/>
        <w:gridCol w:w="1901"/>
        <w:gridCol w:w="2657"/>
        <w:gridCol w:w="3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建设项目名称</w:t>
            </w:r>
          </w:p>
        </w:tc>
        <w:tc>
          <w:tcPr>
            <w:tcW w:w="4118" w:type="pct"/>
            <w:gridSpan w:val="3"/>
            <w:vAlign w:val="center"/>
          </w:tcPr>
          <w:p>
            <w:pPr>
              <w:adjustRightInd w:val="0"/>
              <w:snapToGrid w:val="0"/>
              <w:ind w:firstLine="0" w:firstLineChars="0"/>
              <w:jc w:val="center"/>
              <w:rPr>
                <w:rFonts w:hint="default" w:ascii="Times New Roman" w:hAnsi="Times New Roman" w:eastAsia="宋体" w:cs="Times New Roman"/>
                <w:lang w:val="en-US" w:eastAsia="zh-CN"/>
              </w:rPr>
            </w:pPr>
            <w:r>
              <w:rPr>
                <w:rFonts w:hint="eastAsia" w:cs="Times New Roman"/>
                <w:lang w:val="en-US" w:eastAsia="zh-CN"/>
              </w:rPr>
              <w:t>年产2万吨生物可降解塑料制品项目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项目代码</w:t>
            </w:r>
          </w:p>
        </w:tc>
        <w:tc>
          <w:tcPr>
            <w:tcW w:w="4118" w:type="pct"/>
            <w:gridSpan w:val="3"/>
            <w:vAlign w:val="center"/>
          </w:tcPr>
          <w:p>
            <w:pPr>
              <w:adjustRightInd w:val="0"/>
              <w:snapToGrid w:val="0"/>
              <w:ind w:firstLine="0" w:firstLineChars="0"/>
              <w:jc w:val="center"/>
              <w:rPr>
                <w:rFonts w:hint="default" w:ascii="Times New Roman" w:hAnsi="Times New Roman" w:eastAsia="宋体" w:cs="Times New Roman"/>
                <w:lang w:val="en-US" w:eastAsia="zh-CN"/>
              </w:rPr>
            </w:pPr>
            <w:r>
              <w:rPr>
                <w:rFonts w:hint="eastAsia" w:cs="Times New Roman"/>
                <w:lang w:val="en-US" w:eastAsia="zh-CN"/>
              </w:rPr>
              <w:t>2201-361130-04-05-413895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建设单位联系人</w:t>
            </w:r>
          </w:p>
        </w:tc>
        <w:tc>
          <w:tcPr>
            <w:tcW w:w="976" w:type="pct"/>
            <w:vAlign w:val="center"/>
          </w:tcPr>
          <w:p>
            <w:pPr>
              <w:adjustRightInd w:val="0"/>
              <w:snapToGrid w:val="0"/>
              <w:ind w:firstLine="0" w:firstLineChars="0"/>
              <w:jc w:val="center"/>
              <w:rPr>
                <w:rFonts w:hint="default" w:ascii="Times New Roman" w:hAnsi="Times New Roman" w:eastAsia="宋体" w:cs="Times New Roman"/>
                <w:color w:val="000000"/>
                <w:lang w:eastAsia="zh-CN"/>
              </w:rPr>
            </w:pPr>
            <w:r>
              <w:rPr>
                <w:rFonts w:hint="eastAsia" w:cs="Times New Roman"/>
                <w:color w:val="000000"/>
                <w:lang w:eastAsia="zh-CN"/>
              </w:rPr>
              <w:t>傅瑞梁</w:t>
            </w:r>
          </w:p>
        </w:tc>
        <w:tc>
          <w:tcPr>
            <w:tcW w:w="1364" w:type="pct"/>
            <w:vAlign w:val="center"/>
          </w:tcPr>
          <w:p>
            <w:pPr>
              <w:adjustRightInd w:val="0"/>
              <w:snapToGrid w:val="0"/>
              <w:ind w:firstLine="0" w:firstLineChars="0"/>
              <w:jc w:val="center"/>
              <w:rPr>
                <w:rFonts w:hint="default" w:ascii="Times New Roman" w:hAnsi="Times New Roman" w:cs="Times New Roman"/>
                <w:color w:val="000000"/>
              </w:rPr>
            </w:pPr>
            <w:r>
              <w:rPr>
                <w:rFonts w:hint="default" w:ascii="Times New Roman" w:hAnsi="Times New Roman" w:cs="Times New Roman"/>
                <w:color w:val="000000"/>
              </w:rPr>
              <w:t>联系方式</w:t>
            </w:r>
          </w:p>
        </w:tc>
        <w:tc>
          <w:tcPr>
            <w:tcW w:w="1778" w:type="pct"/>
            <w:vAlign w:val="center"/>
          </w:tcPr>
          <w:p>
            <w:pPr>
              <w:adjustRightInd w:val="0"/>
              <w:snapToGrid w:val="0"/>
              <w:ind w:firstLine="0" w:firstLineChars="0"/>
              <w:jc w:val="center"/>
              <w:rPr>
                <w:rFonts w:hint="default" w:ascii="Times New Roman" w:hAnsi="Times New Roman" w:eastAsia="宋体" w:cs="Times New Roman"/>
                <w:color w:val="000000"/>
                <w:lang w:val="en-US" w:eastAsia="zh-CN"/>
              </w:rPr>
            </w:pPr>
            <w:r>
              <w:rPr>
                <w:rFonts w:hint="eastAsia" w:cs="Times New Roman"/>
                <w:color w:val="000000"/>
                <w:lang w:val="en-US" w:eastAsia="zh-CN"/>
              </w:rPr>
              <w:t>13906908689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建设地点</w:t>
            </w:r>
          </w:p>
        </w:tc>
        <w:tc>
          <w:tcPr>
            <w:tcW w:w="4118" w:type="pct"/>
            <w:gridSpan w:val="3"/>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江西省上饶市婺源县工业园区金庸大道</w:t>
            </w:r>
            <w:r>
              <w:rPr>
                <w:rFonts w:hint="eastAsia" w:cs="Times New Roman"/>
                <w:color w:val="000000" w:themeColor="text1"/>
                <w:lang w:val="en-US" w:eastAsia="zh-CN"/>
                <w14:textFill>
                  <w14:solidFill>
                    <w14:schemeClr w14:val="tx1"/>
                  </w14:solidFill>
                </w14:textFill>
              </w:rPr>
              <w:t>99号（半球家用品实业公司内厂房）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地理坐标</w:t>
            </w:r>
          </w:p>
        </w:tc>
        <w:tc>
          <w:tcPr>
            <w:tcW w:w="4118" w:type="pct"/>
            <w:gridSpan w:val="3"/>
            <w:vAlign w:val="center"/>
          </w:tcPr>
          <w:p>
            <w:pPr>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（11</w:t>
            </w:r>
            <w:r>
              <w:rPr>
                <w:rFonts w:hint="eastAsia"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度</w:t>
            </w:r>
            <w:r>
              <w:rPr>
                <w:rFonts w:hint="eastAsia" w:cs="Times New Roman"/>
                <w:color w:val="000000" w:themeColor="text1"/>
                <w:lang w:val="en-US" w:eastAsia="zh-CN"/>
                <w14:textFill>
                  <w14:solidFill>
                    <w14:schemeClr w14:val="tx1"/>
                  </w14:solidFill>
                </w14:textFill>
              </w:rPr>
              <w:t>46</w:t>
            </w:r>
            <w:r>
              <w:rPr>
                <w:rFonts w:hint="default" w:ascii="Times New Roman" w:hAnsi="Times New Roman" w:cs="Times New Roman"/>
                <w:color w:val="000000" w:themeColor="text1"/>
                <w14:textFill>
                  <w14:solidFill>
                    <w14:schemeClr w14:val="tx1"/>
                  </w14:solidFill>
                </w14:textFill>
              </w:rPr>
              <w:t>分</w:t>
            </w:r>
            <w:r>
              <w:rPr>
                <w:rFonts w:hint="eastAsia" w:cs="Times New Roman"/>
                <w:color w:val="000000" w:themeColor="text1"/>
                <w:lang w:val="en-US" w:eastAsia="zh-CN"/>
                <w14:textFill>
                  <w14:solidFill>
                    <w14:schemeClr w14:val="tx1"/>
                  </w14:solidFill>
                </w14:textFill>
              </w:rPr>
              <w:t>14.861</w:t>
            </w:r>
            <w:r>
              <w:rPr>
                <w:rFonts w:hint="default" w:ascii="Times New Roman" w:hAnsi="Times New Roman" w:cs="Times New Roman"/>
                <w:color w:val="000000" w:themeColor="text1"/>
                <w14:textFill>
                  <w14:solidFill>
                    <w14:schemeClr w14:val="tx1"/>
                  </w14:solidFill>
                </w14:textFill>
              </w:rPr>
              <w:t>秒，28度</w:t>
            </w:r>
            <w:r>
              <w:rPr>
                <w:rFonts w:hint="eastAsia" w:cs="Times New Roman"/>
                <w:color w:val="000000" w:themeColor="text1"/>
                <w:lang w:val="en-US" w:eastAsia="zh-CN"/>
                <w14:textFill>
                  <w14:solidFill>
                    <w14:schemeClr w14:val="tx1"/>
                  </w14:solidFill>
                </w14:textFill>
              </w:rPr>
              <w:t>58</w:t>
            </w:r>
            <w:r>
              <w:rPr>
                <w:rFonts w:hint="default" w:ascii="Times New Roman" w:hAnsi="Times New Roman" w:cs="Times New Roman"/>
                <w:color w:val="000000" w:themeColor="text1"/>
                <w14:textFill>
                  <w14:solidFill>
                    <w14:schemeClr w14:val="tx1"/>
                  </w14:solidFill>
                </w14:textFill>
              </w:rPr>
              <w:t>分</w:t>
            </w:r>
            <w:r>
              <w:rPr>
                <w:rFonts w:hint="eastAsia" w:cs="Times New Roman"/>
                <w:color w:val="000000" w:themeColor="text1"/>
                <w:lang w:val="en-US" w:eastAsia="zh-CN"/>
                <w14:textFill>
                  <w14:solidFill>
                    <w14:schemeClr w14:val="tx1"/>
                  </w14:solidFill>
                </w14:textFill>
              </w:rPr>
              <w:t>25.322</w:t>
            </w:r>
            <w:r>
              <w:rPr>
                <w:rFonts w:hint="default" w:ascii="Times New Roman" w:hAnsi="Times New Roman" w:cs="Times New Roman"/>
                <w:color w:val="000000" w:themeColor="text1"/>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国民经济</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行业类别</w:t>
            </w:r>
          </w:p>
        </w:tc>
        <w:tc>
          <w:tcPr>
            <w:tcW w:w="976"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C2929塑料零件及其他塑料制品制造</w:t>
            </w:r>
          </w:p>
        </w:tc>
        <w:tc>
          <w:tcPr>
            <w:tcW w:w="1364" w:type="pct"/>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bookmarkStart w:id="3" w:name="_Hlk49843745"/>
            <w:r>
              <w:rPr>
                <w:rFonts w:hint="default" w:ascii="Times New Roman" w:hAnsi="Times New Roman" w:cs="Times New Roman"/>
                <w:color w:val="000000" w:themeColor="text1"/>
                <w14:textFill>
                  <w14:solidFill>
                    <w14:schemeClr w14:val="tx1"/>
                  </w14:solidFill>
                </w14:textFill>
              </w:rPr>
              <w:t>建设项目</w:t>
            </w:r>
          </w:p>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行业类别</w:t>
            </w:r>
            <w:bookmarkEnd w:id="3"/>
          </w:p>
        </w:tc>
        <w:tc>
          <w:tcPr>
            <w:tcW w:w="1778"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二十六、橡胶和塑料制品业29—53、塑料制品业292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建设性质</w:t>
            </w:r>
          </w:p>
        </w:tc>
        <w:tc>
          <w:tcPr>
            <w:tcW w:w="976" w:type="pct"/>
            <w:vAlign w:val="center"/>
          </w:tcPr>
          <w:p>
            <w:pPr>
              <w:ind w:firstLine="0" w:firstLineChars="0"/>
              <w:rPr>
                <w:rFonts w:hint="default" w:ascii="Times New Roman" w:hAnsi="Times New Roman" w:cs="Times New Roman"/>
              </w:rPr>
            </w:pPr>
            <w:r>
              <w:rPr>
                <w:rFonts w:hint="default" w:ascii="Times New Roman" w:hAnsi="Times New Roman" w:cs="Times New Roman"/>
              </w:rPr>
              <w:sym w:font="Wingdings 2" w:char="0052"/>
            </w:r>
            <w:r>
              <w:rPr>
                <w:rFonts w:hint="default" w:ascii="Times New Roman" w:hAnsi="Times New Roman" w:cs="Times New Roman"/>
              </w:rPr>
              <w:t>新建（迁建）</w:t>
            </w:r>
          </w:p>
          <w:p>
            <w:pPr>
              <w:ind w:firstLine="0" w:firstLineChars="0"/>
              <w:rPr>
                <w:rFonts w:hint="default" w:ascii="Times New Roman" w:hAnsi="Times New Roman" w:cs="Times New Roman"/>
              </w:rPr>
            </w:pPr>
            <w:r>
              <w:rPr>
                <w:rFonts w:hint="default" w:ascii="Times New Roman" w:hAnsi="Times New Roman" w:cs="Times New Roman"/>
              </w:rPr>
              <w:sym w:font="Wingdings 2" w:char="00A3"/>
            </w:r>
            <w:r>
              <w:rPr>
                <w:rFonts w:hint="default" w:ascii="Times New Roman" w:hAnsi="Times New Roman" w:cs="Times New Roman"/>
              </w:rPr>
              <w:t>改建</w:t>
            </w:r>
          </w:p>
          <w:p>
            <w:pPr>
              <w:ind w:firstLine="0" w:firstLineChars="0"/>
              <w:rPr>
                <w:rFonts w:hint="default" w:ascii="Times New Roman" w:hAnsi="Times New Roman" w:cs="Times New Roman"/>
              </w:rPr>
            </w:pPr>
            <w:r>
              <w:rPr>
                <w:rFonts w:hint="default" w:ascii="Times New Roman" w:hAnsi="Times New Roman" w:cs="Times New Roman"/>
              </w:rPr>
              <w:sym w:font="Wingdings 2" w:char="00A3"/>
            </w:r>
            <w:r>
              <w:rPr>
                <w:rFonts w:hint="default" w:ascii="Times New Roman" w:hAnsi="Times New Roman" w:cs="Times New Roman"/>
              </w:rPr>
              <w:t>扩建</w:t>
            </w:r>
          </w:p>
          <w:p>
            <w:pPr>
              <w:ind w:firstLine="0" w:firstLineChars="0"/>
              <w:rPr>
                <w:rFonts w:hint="default" w:ascii="Times New Roman" w:hAnsi="Times New Roman" w:cs="Times New Roman"/>
              </w:rPr>
            </w:pPr>
            <w:r>
              <w:rPr>
                <w:rFonts w:hint="default" w:ascii="Times New Roman" w:hAnsi="Times New Roman" w:cs="Times New Roman"/>
              </w:rPr>
              <w:sym w:font="Wingdings 2" w:char="00A3"/>
            </w:r>
            <w:r>
              <w:rPr>
                <w:rFonts w:hint="default" w:ascii="Times New Roman" w:hAnsi="Times New Roman" w:cs="Times New Roman"/>
              </w:rPr>
              <w:t>技术改造</w:t>
            </w:r>
          </w:p>
        </w:tc>
        <w:tc>
          <w:tcPr>
            <w:tcW w:w="1364" w:type="pct"/>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建设项目</w:t>
            </w:r>
          </w:p>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申报情形</w:t>
            </w:r>
          </w:p>
        </w:tc>
        <w:tc>
          <w:tcPr>
            <w:tcW w:w="1778" w:type="pct"/>
            <w:vAlign w:val="center"/>
          </w:tcPr>
          <w:p>
            <w:pPr>
              <w:ind w:firstLine="0" w:firstLineChars="0"/>
              <w:rPr>
                <w:rFonts w:hint="default" w:ascii="Times New Roman" w:hAnsi="Times New Roman" w:cs="Times New Roman"/>
              </w:rPr>
            </w:pPr>
            <w:r>
              <w:rPr>
                <w:rFonts w:hint="default" w:ascii="Times New Roman" w:hAnsi="Times New Roman" w:cs="Times New Roman"/>
              </w:rPr>
              <w:sym w:font="Wingdings 2" w:char="0052"/>
            </w:r>
            <w:r>
              <w:rPr>
                <w:rFonts w:hint="default" w:ascii="Times New Roman" w:hAnsi="Times New Roman" w:cs="Times New Roman"/>
              </w:rPr>
              <w:t xml:space="preserve">首次申报项目             </w:t>
            </w:r>
          </w:p>
          <w:p>
            <w:pPr>
              <w:ind w:firstLine="0" w:firstLineChars="0"/>
              <w:jc w:val="both"/>
              <w:rPr>
                <w:rFonts w:hint="default" w:ascii="Times New Roman" w:hAnsi="Times New Roman" w:cs="Times New Roman"/>
              </w:rPr>
            </w:pPr>
            <w:r>
              <w:rPr>
                <w:rFonts w:hint="default" w:ascii="Times New Roman" w:hAnsi="Times New Roman" w:cs="Times New Roman"/>
              </w:rPr>
              <w:sym w:font="Wingdings 2" w:char="00A3"/>
            </w:r>
            <w:r>
              <w:rPr>
                <w:rFonts w:hint="default" w:ascii="Times New Roman" w:hAnsi="Times New Roman" w:cs="Times New Roman"/>
              </w:rPr>
              <w:t>不予批准后再次申报项目</w:t>
            </w:r>
          </w:p>
          <w:p>
            <w:pPr>
              <w:ind w:firstLine="0" w:firstLineChars="0"/>
              <w:rPr>
                <w:rFonts w:hint="default" w:ascii="Times New Roman" w:hAnsi="Times New Roman" w:cs="Times New Roman"/>
              </w:rPr>
            </w:pPr>
            <w:r>
              <w:rPr>
                <w:rFonts w:hint="default" w:ascii="Times New Roman" w:hAnsi="Times New Roman" w:cs="Times New Roman"/>
              </w:rPr>
              <w:sym w:font="Wingdings 2" w:char="00A3"/>
            </w:r>
            <w:r>
              <w:rPr>
                <w:rFonts w:hint="default" w:ascii="Times New Roman" w:hAnsi="Times New Roman" w:cs="Times New Roman"/>
              </w:rPr>
              <w:t xml:space="preserve">超五年重新审核项目     </w:t>
            </w:r>
          </w:p>
          <w:p>
            <w:pPr>
              <w:ind w:firstLine="0" w:firstLineChars="0"/>
              <w:rPr>
                <w:rFonts w:hint="default" w:ascii="Times New Roman" w:hAnsi="Times New Roman" w:cs="Times New Roman"/>
              </w:rPr>
            </w:pPr>
            <w:r>
              <w:rPr>
                <w:rFonts w:hint="default" w:ascii="Times New Roman" w:hAnsi="Times New Roman" w:cs="Times New Roman"/>
              </w:rPr>
              <w:sym w:font="Wingdings 2" w:char="00A3"/>
            </w:r>
            <w:r>
              <w:rPr>
                <w:rFonts w:hint="default" w:ascii="Times New Roman" w:hAnsi="Times New Roman" w:cs="Times New Roman"/>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项目审批（核准/</w:t>
            </w:r>
          </w:p>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备案）部门（选填）</w:t>
            </w:r>
          </w:p>
        </w:tc>
        <w:tc>
          <w:tcPr>
            <w:tcW w:w="976" w:type="pct"/>
            <w:vAlign w:val="center"/>
          </w:tcPr>
          <w:p>
            <w:pPr>
              <w:adjustRightInd w:val="0"/>
              <w:snapToGrid w:val="0"/>
              <w:ind w:firstLine="0" w:firstLineChars="0"/>
              <w:jc w:val="center"/>
              <w:rPr>
                <w:rFonts w:hint="default" w:ascii="Times New Roman" w:hAnsi="Times New Roman" w:eastAsia="宋体" w:cs="Times New Roman"/>
                <w:lang w:eastAsia="zh-CN"/>
              </w:rPr>
            </w:pPr>
            <w:r>
              <w:rPr>
                <w:rFonts w:hint="eastAsia" w:cs="Times New Roman"/>
                <w:lang w:eastAsia="zh-CN"/>
              </w:rPr>
              <w:t>婺源县发展和改革委员会</w:t>
            </w:r>
          </w:p>
        </w:tc>
        <w:tc>
          <w:tcPr>
            <w:tcW w:w="1364" w:type="pct"/>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项目审批（核准/</w:t>
            </w:r>
          </w:p>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备案）文号（选填）</w:t>
            </w:r>
          </w:p>
        </w:tc>
        <w:tc>
          <w:tcPr>
            <w:tcW w:w="1778" w:type="pct"/>
            <w:vAlign w:val="center"/>
          </w:tcPr>
          <w:p>
            <w:pPr>
              <w:adjustRightInd w:val="0"/>
              <w:snapToGrid w:val="0"/>
              <w:ind w:firstLine="0" w:firstLineChars="0"/>
              <w:jc w:val="center"/>
              <w:rPr>
                <w:rFonts w:hint="default" w:ascii="Times New Roman" w:hAnsi="Times New Roman" w:cs="Times New Roman"/>
              </w:rPr>
            </w:pPr>
            <w:r>
              <w:rPr>
                <w:rFonts w:hint="eastAsia" w:cs="Times New Roman"/>
                <w:lang w:val="en-US" w:eastAsia="zh-CN"/>
              </w:rPr>
              <w:t>2201-361130-04-05-413895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总投资（万元）</w:t>
            </w:r>
          </w:p>
        </w:tc>
        <w:tc>
          <w:tcPr>
            <w:tcW w:w="976"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2100</w:t>
            </w:r>
          </w:p>
        </w:tc>
        <w:tc>
          <w:tcPr>
            <w:tcW w:w="1364"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环保投资（万元）</w:t>
            </w:r>
          </w:p>
        </w:tc>
        <w:tc>
          <w:tcPr>
            <w:tcW w:w="1778"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环保投资占比（%）</w:t>
            </w:r>
          </w:p>
        </w:tc>
        <w:tc>
          <w:tcPr>
            <w:tcW w:w="976"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2.38</w:t>
            </w:r>
          </w:p>
        </w:tc>
        <w:tc>
          <w:tcPr>
            <w:tcW w:w="1364"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施工工期</w:t>
            </w:r>
          </w:p>
        </w:tc>
        <w:tc>
          <w:tcPr>
            <w:tcW w:w="1778" w:type="pct"/>
            <w:vAlign w:val="center"/>
          </w:tcPr>
          <w:p>
            <w:pPr>
              <w:adjustRightInd w:val="0"/>
              <w:snapToGrid w:val="0"/>
              <w:ind w:firstLine="0" w:firstLineChars="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881"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rPr>
              <w:t>是否开工建设</w:t>
            </w:r>
          </w:p>
        </w:tc>
        <w:tc>
          <w:tcPr>
            <w:tcW w:w="976" w:type="pct"/>
            <w:vAlign w:val="center"/>
          </w:tcPr>
          <w:p>
            <w:pPr>
              <w:adjustRightInd w:val="0"/>
              <w:snapToGrid w:val="0"/>
              <w:ind w:firstLine="0" w:firstLineChars="0"/>
              <w:rPr>
                <w:rFonts w:hint="default" w:ascii="Times New Roman" w:hAnsi="Times New Roman" w:cs="Times New Roman"/>
              </w:rPr>
            </w:pPr>
            <w:r>
              <w:rPr>
                <w:rFonts w:hint="default" w:ascii="Times New Roman" w:hAnsi="Times New Roman" w:cs="Times New Roman"/>
              </w:rPr>
              <w:sym w:font="Wingdings 2" w:char="0052"/>
            </w:r>
            <w:r>
              <w:rPr>
                <w:rFonts w:hint="default" w:ascii="Times New Roman" w:hAnsi="Times New Roman" w:cs="Times New Roman"/>
              </w:rPr>
              <w:t>否</w:t>
            </w:r>
          </w:p>
          <w:p>
            <w:pPr>
              <w:adjustRightInd w:val="0"/>
              <w:snapToGrid w:val="0"/>
              <w:ind w:firstLine="0" w:firstLineChars="0"/>
              <w:rPr>
                <w:rFonts w:hint="default" w:ascii="Times New Roman" w:hAnsi="Times New Roman" w:cs="Times New Roman"/>
              </w:rPr>
            </w:pPr>
            <w:r>
              <w:rPr>
                <w:rFonts w:hint="default" w:ascii="Times New Roman" w:hAnsi="Times New Roman" w:cs="Times New Roman"/>
                <w:color w:val="000000" w:themeColor="text1"/>
                <w14:textFill>
                  <w14:solidFill>
                    <w14:schemeClr w14:val="tx1"/>
                  </w14:solidFill>
                </w14:textFill>
              </w:rPr>
              <w:sym w:font="Wingdings 2" w:char="00A3"/>
            </w:r>
            <w:r>
              <w:rPr>
                <w:rFonts w:hint="default" w:ascii="Times New Roman" w:hAnsi="Times New Roman" w:cs="Times New Roman"/>
                <w:color w:val="000000" w:themeColor="text1"/>
                <w14:textFill>
                  <w14:solidFill>
                    <w14:schemeClr w14:val="tx1"/>
                  </w14:solidFill>
                </w14:textFill>
              </w:rPr>
              <w:t>是：</w:t>
            </w:r>
            <w:r>
              <w:rPr>
                <w:rFonts w:hint="default" w:ascii="Times New Roman" w:hAnsi="Times New Roman" w:cs="Times New Roman"/>
                <w:u w:val="single"/>
              </w:rPr>
              <w:t xml:space="preserve">             </w:t>
            </w:r>
          </w:p>
        </w:tc>
        <w:tc>
          <w:tcPr>
            <w:tcW w:w="1364" w:type="pct"/>
            <w:tcMar>
              <w:top w:w="16" w:type="dxa"/>
              <w:left w:w="16" w:type="dxa"/>
              <w:right w:w="16" w:type="dxa"/>
            </w:tcMar>
            <w:vAlign w:val="center"/>
          </w:tcPr>
          <w:p>
            <w:pPr>
              <w:adjustRightInd w:val="0"/>
              <w:snapToGrid w:val="0"/>
              <w:ind w:firstLine="0" w:firstLineChars="0"/>
              <w:jc w:val="center"/>
              <w:rPr>
                <w:rFonts w:hint="default" w:ascii="Times New Roman" w:hAnsi="Times New Roman" w:cs="Times New Roman"/>
                <w:spacing w:val="-6"/>
              </w:rPr>
            </w:pPr>
            <w:r>
              <w:rPr>
                <w:rFonts w:hint="default" w:ascii="Times New Roman" w:hAnsi="Times New Roman" w:cs="Times New Roman"/>
                <w:spacing w:val="-6"/>
              </w:rPr>
              <w:t>用地（用海）</w:t>
            </w:r>
          </w:p>
          <w:p>
            <w:pPr>
              <w:adjustRightInd w:val="0"/>
              <w:snapToGrid w:val="0"/>
              <w:ind w:firstLine="0" w:firstLineChars="0"/>
              <w:jc w:val="center"/>
              <w:rPr>
                <w:rFonts w:hint="default" w:ascii="Times New Roman" w:hAnsi="Times New Roman" w:cs="Times New Roman"/>
              </w:rPr>
            </w:pPr>
            <w:r>
              <w:rPr>
                <w:rFonts w:hint="default" w:ascii="Times New Roman" w:hAnsi="Times New Roman" w:cs="Times New Roman"/>
                <w:spacing w:val="-6"/>
              </w:rPr>
              <w:t>面积（m</w:t>
            </w:r>
            <w:r>
              <w:rPr>
                <w:rFonts w:hint="default" w:ascii="Times New Roman" w:hAnsi="Times New Roman" w:cs="Times New Roman"/>
                <w:spacing w:val="-6"/>
                <w:vertAlign w:val="superscript"/>
              </w:rPr>
              <w:t>2</w:t>
            </w:r>
            <w:r>
              <w:rPr>
                <w:rFonts w:hint="default" w:ascii="Times New Roman" w:hAnsi="Times New Roman" w:cs="Times New Roman"/>
                <w:spacing w:val="-6"/>
              </w:rPr>
              <w:t>）</w:t>
            </w:r>
          </w:p>
        </w:tc>
        <w:tc>
          <w:tcPr>
            <w:tcW w:w="1778" w:type="pct"/>
            <w:vAlign w:val="center"/>
          </w:tcPr>
          <w:p>
            <w:pPr>
              <w:adjustRightInd w:val="0"/>
              <w:snapToGrid w:val="0"/>
              <w:ind w:firstLine="0" w:firstLineChars="0"/>
              <w:jc w:val="center"/>
              <w:rPr>
                <w:rFonts w:hint="default" w:ascii="Times New Roman" w:hAnsi="Times New Roman" w:eastAsia="宋体" w:cs="Times New Roman"/>
                <w:lang w:val="en-US" w:eastAsia="zh-CN"/>
              </w:rPr>
            </w:pPr>
            <w:r>
              <w:rPr>
                <w:rFonts w:hint="eastAsia" w:cs="Times New Roman"/>
                <w:lang w:val="en-US" w:eastAsia="zh-CN"/>
              </w:rPr>
              <w:t>3000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1" w:type="pct"/>
            <w:vAlign w:val="center"/>
          </w:tcPr>
          <w:p>
            <w:pPr>
              <w:autoSpaceDE w:val="0"/>
              <w:autoSpaceDN w:val="0"/>
              <w:adjustRightInd w:val="0"/>
              <w:snapToGrid w:val="0"/>
              <w:ind w:firstLine="0" w:firstLineChars="0"/>
              <w:jc w:val="center"/>
              <w:rPr>
                <w:rFonts w:hint="default" w:ascii="Times New Roman" w:hAnsi="Times New Roman" w:cs="Times New Roman"/>
                <w:kern w:val="0"/>
              </w:rPr>
            </w:pPr>
            <w:r>
              <w:rPr>
                <w:rFonts w:hint="default" w:ascii="Times New Roman" w:hAnsi="Times New Roman" w:cs="Times New Roman"/>
                <w:kern w:val="0"/>
              </w:rPr>
              <w:t>专项评价</w:t>
            </w:r>
          </w:p>
          <w:p>
            <w:pPr>
              <w:autoSpaceDE w:val="0"/>
              <w:autoSpaceDN w:val="0"/>
              <w:adjustRightInd w:val="0"/>
              <w:snapToGrid w:val="0"/>
              <w:ind w:firstLine="0" w:firstLineChars="0"/>
              <w:jc w:val="center"/>
              <w:rPr>
                <w:rFonts w:hint="default" w:ascii="Times New Roman" w:hAnsi="Times New Roman" w:cs="Times New Roman"/>
                <w:kern w:val="0"/>
              </w:rPr>
            </w:pPr>
            <w:r>
              <w:rPr>
                <w:rFonts w:hint="default" w:ascii="Times New Roman" w:hAnsi="Times New Roman" w:cs="Times New Roman"/>
                <w:kern w:val="0"/>
              </w:rPr>
              <w:t>设置情况</w:t>
            </w:r>
          </w:p>
        </w:tc>
        <w:tc>
          <w:tcPr>
            <w:tcW w:w="4118" w:type="pct"/>
            <w:gridSpan w:val="3"/>
            <w:vAlign w:val="center"/>
          </w:tcPr>
          <w:p>
            <w:pPr>
              <w:autoSpaceDE w:val="0"/>
              <w:autoSpaceDN w:val="0"/>
              <w:adjustRightInd w:val="0"/>
              <w:snapToGrid w:val="0"/>
              <w:ind w:firstLine="0" w:firstLineChars="0"/>
              <w:jc w:val="center"/>
              <w:rPr>
                <w:rFonts w:hint="default" w:ascii="Times New Roman" w:hAnsi="Times New Roman" w:eastAsia="宋体" w:cs="Times New Roman"/>
                <w:kern w:val="0"/>
                <w:lang w:val="en-US" w:eastAsia="zh-CN"/>
              </w:rPr>
            </w:pPr>
            <w:r>
              <w:rPr>
                <w:rFonts w:hint="default" w:ascii="Times New Roman" w:hAnsi="Times New Roman" w:cs="Times New Roman"/>
                <w:kern w:val="0"/>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881" w:type="pct"/>
            <w:vAlign w:val="center"/>
          </w:tcPr>
          <w:p>
            <w:pPr>
              <w:autoSpaceDE w:val="0"/>
              <w:autoSpaceDN w:val="0"/>
              <w:adjustRightInd w:val="0"/>
              <w:snapToGrid w:val="0"/>
              <w:ind w:firstLine="0" w:firstLineChars="0"/>
              <w:jc w:val="center"/>
              <w:rPr>
                <w:rFonts w:hint="default" w:ascii="Times New Roman" w:hAnsi="Times New Roman" w:cs="Times New Roman"/>
                <w:kern w:val="0"/>
              </w:rPr>
            </w:pPr>
            <w:r>
              <w:rPr>
                <w:rFonts w:hint="default" w:ascii="Times New Roman" w:hAnsi="Times New Roman" w:cs="Times New Roman"/>
              </w:rPr>
              <w:t>规划情况</w:t>
            </w:r>
          </w:p>
        </w:tc>
        <w:tc>
          <w:tcPr>
            <w:tcW w:w="4118" w:type="pct"/>
            <w:gridSpan w:val="3"/>
            <w:vAlign w:val="center"/>
          </w:tcPr>
          <w:p>
            <w:pPr>
              <w:adjustRightInd w:val="0"/>
              <w:snapToGrid w:val="0"/>
              <w:ind w:firstLine="0" w:firstLineChars="0"/>
              <w:jc w:val="center"/>
              <w:rPr>
                <w:rFonts w:hint="eastAsia" w:eastAsia="宋体"/>
                <w:lang w:eastAsia="zh-CN"/>
              </w:rPr>
            </w:pPr>
            <w:r>
              <w:rPr>
                <w:rFonts w:hint="eastAsia" w:ascii="Times New Roman" w:hAnsi="Times New Roman" w:cs="Times New Roman"/>
                <w:color w:val="auto"/>
                <w:kern w:val="0"/>
                <w:sz w:val="24"/>
                <w:szCs w:val="24"/>
                <w:highlight w:val="none"/>
                <w:lang w:eastAsia="zh-CN"/>
              </w:rPr>
              <w:t>《上饶市婺源县工业园产业</w:t>
            </w:r>
            <w:r>
              <w:rPr>
                <w:rFonts w:hint="eastAsia" w:ascii="Times New Roman" w:hAnsi="Times New Roman" w:eastAsia="宋体" w:cs="Times New Roman"/>
                <w:color w:val="auto"/>
                <w:kern w:val="0"/>
                <w:sz w:val="24"/>
                <w:szCs w:val="24"/>
                <w:highlight w:val="none"/>
              </w:rPr>
              <w:t>规划</w:t>
            </w:r>
            <w:r>
              <w:rPr>
                <w:rFonts w:hint="default" w:ascii="Times New Roman" w:hAnsi="Times New Roman" w:eastAsia="宋体" w:cs="Times New Roman"/>
                <w:color w:val="auto"/>
                <w:kern w:val="0"/>
                <w:sz w:val="24"/>
                <w:szCs w:val="24"/>
                <w:highlight w:val="none"/>
              </w:rPr>
              <w:t>（2015-2025）》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1" w:type="pct"/>
            <w:vAlign w:val="center"/>
          </w:tcPr>
          <w:p>
            <w:pPr>
              <w:adjustRightInd w:val="0"/>
              <w:snapToGrid w:val="0"/>
              <w:ind w:firstLine="0" w:firstLineChars="0"/>
              <w:rPr>
                <w:rFonts w:hint="default" w:ascii="Times New Roman" w:hAnsi="Times New Roman" w:cs="Times New Roman"/>
                <w:kern w:val="0"/>
              </w:rPr>
            </w:pPr>
            <w:r>
              <w:rPr>
                <w:rFonts w:hint="default" w:ascii="Times New Roman" w:hAnsi="Times New Roman" w:cs="Times New Roman"/>
              </w:rPr>
              <w:t>规划环境影响评价情况</w:t>
            </w:r>
          </w:p>
        </w:tc>
        <w:tc>
          <w:tcPr>
            <w:tcW w:w="4118" w:type="pct"/>
            <w:gridSpan w:val="3"/>
            <w:vAlign w:val="center"/>
          </w:tcPr>
          <w:p>
            <w:pPr>
              <w:adjustRightInd w:val="0"/>
              <w:snapToGrid w:val="0"/>
              <w:ind w:firstLine="0" w:firstLineChars="0"/>
              <w:rPr>
                <w:rFonts w:hint="default" w:ascii="Times New Roman" w:hAnsi="Times New Roman" w:cs="Times New Roman"/>
              </w:rPr>
            </w:pPr>
            <w:r>
              <w:rPr>
                <w:rFonts w:hint="default" w:ascii="Times New Roman" w:hAnsi="Times New Roman" w:cs="Times New Roman"/>
              </w:rPr>
              <w:t>文件名称：《</w:t>
            </w:r>
            <w:r>
              <w:rPr>
                <w:rFonts w:hint="eastAsia" w:cs="Times New Roman"/>
                <w:lang w:eastAsia="zh-CN"/>
              </w:rPr>
              <w:t>婺源工业园区扩区调区规划环境影响报告书</w:t>
            </w:r>
            <w:r>
              <w:rPr>
                <w:rFonts w:hint="default" w:ascii="Times New Roman" w:hAnsi="Times New Roman" w:cs="Times New Roman"/>
              </w:rPr>
              <w:t>》</w:t>
            </w:r>
          </w:p>
          <w:p>
            <w:pPr>
              <w:adjustRightInd w:val="0"/>
              <w:snapToGrid w:val="0"/>
              <w:ind w:firstLine="0" w:firstLineChars="0"/>
              <w:rPr>
                <w:rFonts w:hint="eastAsia" w:ascii="Times New Roman" w:hAnsi="Times New Roman" w:eastAsia="宋体" w:cs="Times New Roman"/>
                <w:lang w:eastAsia="zh-CN"/>
              </w:rPr>
            </w:pPr>
            <w:r>
              <w:rPr>
                <w:rFonts w:hint="default" w:ascii="Times New Roman" w:hAnsi="Times New Roman" w:cs="Times New Roman"/>
              </w:rPr>
              <w:t>召集审查机关：</w:t>
            </w:r>
            <w:r>
              <w:rPr>
                <w:rFonts w:hint="eastAsia" w:cs="Times New Roman"/>
                <w:lang w:eastAsia="zh-CN"/>
              </w:rPr>
              <w:t>江西省生态环境厅</w:t>
            </w:r>
          </w:p>
          <w:p>
            <w:pPr>
              <w:adjustRightInd w:val="0"/>
              <w:snapToGrid w:val="0"/>
              <w:ind w:firstLine="0" w:firstLineChars="0"/>
              <w:rPr>
                <w:rFonts w:hint="eastAsia" w:ascii="Times New Roman" w:hAnsi="Times New Roman" w:eastAsia="宋体" w:cs="Times New Roman"/>
                <w:kern w:val="0"/>
                <w:lang w:eastAsia="zh-CN"/>
              </w:rPr>
            </w:pPr>
            <w:r>
              <w:rPr>
                <w:rFonts w:hint="default" w:ascii="Times New Roman" w:hAnsi="Times New Roman" w:cs="Times New Roman"/>
              </w:rPr>
              <w:t>审查文件名称及文号：</w:t>
            </w:r>
            <w:r>
              <w:rPr>
                <w:rFonts w:hint="eastAsia" w:cs="Times New Roman"/>
                <w:lang w:eastAsia="zh-CN"/>
              </w:rPr>
              <w:t>江西省生态环境厅</w:t>
            </w:r>
            <w:r>
              <w:rPr>
                <w:rFonts w:hint="default" w:ascii="Times New Roman" w:hAnsi="Times New Roman" w:cs="Times New Roman"/>
              </w:rPr>
              <w:t>关于</w:t>
            </w:r>
            <w:r>
              <w:rPr>
                <w:rFonts w:hint="eastAsia" w:cs="Times New Roman"/>
                <w:lang w:eastAsia="zh-CN"/>
              </w:rPr>
              <w:t>婺源工业园区扩区调区规划环境影响报告书</w:t>
            </w:r>
            <w:r>
              <w:rPr>
                <w:rFonts w:hint="default" w:ascii="Times New Roman" w:hAnsi="Times New Roman" w:cs="Times New Roman"/>
              </w:rPr>
              <w:t>审查意见</w:t>
            </w:r>
            <w:r>
              <w:rPr>
                <w:rFonts w:hint="eastAsia" w:cs="Times New Roman"/>
                <w:lang w:eastAsia="zh-CN"/>
              </w:rPr>
              <w:t>的函</w:t>
            </w:r>
            <w:r>
              <w:rPr>
                <w:rFonts w:hint="default" w:ascii="Times New Roman" w:hAnsi="Times New Roman" w:cs="Times New Roman"/>
              </w:rPr>
              <w:t>（</w:t>
            </w:r>
            <w:r>
              <w:rPr>
                <w:rFonts w:hint="eastAsia" w:cs="Times New Roman"/>
                <w:lang w:eastAsia="zh-CN"/>
              </w:rPr>
              <w:t>赣环环评函</w:t>
            </w:r>
            <w:r>
              <w:rPr>
                <w:rFonts w:hint="default" w:ascii="Times New Roman" w:hAnsi="Times New Roman" w:cs="Times New Roman"/>
              </w:rPr>
              <w:t>[2019]</w:t>
            </w:r>
            <w:r>
              <w:rPr>
                <w:rFonts w:hint="eastAsia" w:cs="Times New Roman"/>
                <w:lang w:val="en-US" w:eastAsia="zh-CN"/>
              </w:rPr>
              <w:t>63</w:t>
            </w:r>
            <w:r>
              <w:rPr>
                <w:rFonts w:hint="default" w:ascii="Times New Roman" w:hAnsi="Times New Roman" w:cs="Times New Roman"/>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881" w:type="pct"/>
            <w:vAlign w:val="center"/>
          </w:tcPr>
          <w:p>
            <w:pPr>
              <w:autoSpaceDE w:val="0"/>
              <w:autoSpaceDN w:val="0"/>
              <w:adjustRightInd w:val="0"/>
              <w:snapToGrid w:val="0"/>
              <w:ind w:firstLine="0" w:firstLineChars="0"/>
              <w:jc w:val="center"/>
              <w:rPr>
                <w:rFonts w:hint="default" w:ascii="Times New Roman" w:hAnsi="Times New Roman" w:cs="Times New Roman"/>
                <w:kern w:val="0"/>
              </w:rPr>
            </w:pPr>
            <w:r>
              <w:rPr>
                <w:rFonts w:hint="default" w:ascii="Times New Roman" w:hAnsi="Times New Roman" w:cs="Times New Roman"/>
                <w:kern w:val="0"/>
              </w:rPr>
              <w:t>规划及规划环境影响评价符合性分析</w:t>
            </w:r>
          </w:p>
        </w:tc>
        <w:tc>
          <w:tcPr>
            <w:tcW w:w="4118" w:type="pct"/>
            <w:gridSpan w:val="3"/>
            <w:vAlign w:val="center"/>
          </w:tcPr>
          <w:p>
            <w:pPr>
              <w:ind w:firstLine="480"/>
              <w:rPr>
                <w:rFonts w:hint="default" w:ascii="Times New Roman" w:hAnsi="Times New Roman" w:eastAsia="宋体" w:cs="Times New Roman"/>
                <w:color w:val="0000FF"/>
                <w:kern w:val="0"/>
                <w:lang w:val="en-US" w:eastAsia="zh-CN"/>
              </w:rPr>
            </w:pPr>
            <w:r>
              <w:rPr>
                <w:rFonts w:hint="default" w:ascii="Times New Roman" w:hAnsi="Times New Roman" w:eastAsia="宋体" w:cs="Times New Roman"/>
                <w:color w:val="0000FF"/>
                <w:kern w:val="0"/>
                <w:lang w:val="en-US" w:eastAsia="zh-CN"/>
              </w:rPr>
              <w:t>根据《</w:t>
            </w:r>
            <w:r>
              <w:rPr>
                <w:rFonts w:hint="eastAsia" w:ascii="Times New Roman" w:hAnsi="Times New Roman" w:eastAsia="宋体" w:cs="Times New Roman"/>
                <w:color w:val="0000FF"/>
                <w:kern w:val="0"/>
                <w:lang w:val="en-US" w:eastAsia="zh-CN"/>
              </w:rPr>
              <w:t>婺源工业园区扩区调区规划环境影响报告书</w:t>
            </w:r>
            <w:r>
              <w:rPr>
                <w:rFonts w:hint="default" w:ascii="Times New Roman" w:hAnsi="Times New Roman" w:eastAsia="宋体" w:cs="Times New Roman"/>
                <w:color w:val="0000FF"/>
                <w:kern w:val="0"/>
                <w:lang w:val="en-US" w:eastAsia="zh-CN"/>
              </w:rPr>
              <w:t>》的审查意见（</w:t>
            </w:r>
            <w:r>
              <w:rPr>
                <w:rFonts w:hint="eastAsia" w:ascii="Times New Roman" w:hAnsi="Times New Roman" w:eastAsia="宋体" w:cs="Times New Roman"/>
                <w:color w:val="0000FF"/>
                <w:kern w:val="0"/>
                <w:lang w:val="en-US" w:eastAsia="zh-CN"/>
              </w:rPr>
              <w:t>赣环环评函</w:t>
            </w:r>
            <w:r>
              <w:rPr>
                <w:rFonts w:hint="default" w:ascii="Times New Roman" w:hAnsi="Times New Roman" w:eastAsia="宋体" w:cs="Times New Roman"/>
                <w:color w:val="0000FF"/>
                <w:kern w:val="0"/>
                <w:lang w:val="en-US" w:eastAsia="zh-CN"/>
              </w:rPr>
              <w:t>[2019]</w:t>
            </w:r>
            <w:r>
              <w:rPr>
                <w:rFonts w:hint="eastAsia" w:ascii="Times New Roman" w:hAnsi="Times New Roman" w:eastAsia="宋体" w:cs="Times New Roman"/>
                <w:color w:val="0000FF"/>
                <w:kern w:val="0"/>
                <w:lang w:val="en-US" w:eastAsia="zh-CN"/>
              </w:rPr>
              <w:t>63</w:t>
            </w:r>
            <w:r>
              <w:rPr>
                <w:rFonts w:hint="default" w:ascii="Times New Roman" w:hAnsi="Times New Roman" w:eastAsia="宋体" w:cs="Times New Roman"/>
                <w:color w:val="0000FF"/>
                <w:kern w:val="0"/>
                <w:lang w:val="en-US" w:eastAsia="zh-CN"/>
              </w:rPr>
              <w:t>号），</w:t>
            </w:r>
            <w:r>
              <w:rPr>
                <w:rFonts w:hint="eastAsia" w:ascii="Times New Roman" w:hAnsi="Times New Roman" w:eastAsia="宋体" w:cs="Times New Roman"/>
                <w:color w:val="0000FF"/>
                <w:kern w:val="0"/>
                <w:lang w:val="en-US" w:eastAsia="zh-CN"/>
              </w:rPr>
              <w:t>调区扩区</w:t>
            </w:r>
            <w:r>
              <w:rPr>
                <w:rFonts w:hint="eastAsia" w:cs="Times New Roman"/>
                <w:color w:val="0000FF"/>
                <w:kern w:val="0"/>
                <w:lang w:val="en-US" w:eastAsia="zh-CN"/>
              </w:rPr>
              <w:t>后</w:t>
            </w:r>
            <w:r>
              <w:rPr>
                <w:rFonts w:hint="eastAsia" w:ascii="Times New Roman" w:hAnsi="Times New Roman" w:eastAsia="宋体" w:cs="Times New Roman"/>
                <w:color w:val="0000FF"/>
                <w:kern w:val="0"/>
                <w:lang w:val="en-US" w:eastAsia="zh-CN"/>
              </w:rPr>
              <w:t>，婺源县工业园区北至外环，东临平安路，西达西外环路，南以山体、高家村水渠为界，规划面积约642.64公顷。规划定位为以一类工业用地为主，生活配套齐全的现代化工业园区，以中药加工、木竹深加工、食品加工、服装家纺、旅游商品、机械电子等主导产业。</w:t>
            </w:r>
          </w:p>
          <w:p>
            <w:pPr>
              <w:ind w:firstLine="480"/>
              <w:rPr>
                <w:rFonts w:hint="eastAsia" w:cs="Times New Roman"/>
                <w:color w:val="0000FF"/>
                <w:kern w:val="0"/>
                <w:lang w:val="en-US" w:eastAsia="zh-CN"/>
              </w:rPr>
            </w:pPr>
            <w:r>
              <w:rPr>
                <w:rFonts w:hint="eastAsia" w:cs="Times New Roman"/>
                <w:color w:val="0000FF"/>
                <w:kern w:val="0"/>
                <w:lang w:val="en-US" w:eastAsia="zh-CN"/>
              </w:rPr>
              <w:t>旅游商品：打造旅游商品产业基地，依托已有的户外休闲帐篷加工基础，拓展帐篷、太阳伞、沙滩椅、园艺用品等旅游休闲用品制造领域，积极引进国内外知名旅游休闲用品制造商。探索建设旅游休闲用品交易市场和网上交易市场，打通线上线下营销渠道，积极开发工业旅游和购物。</w:t>
            </w:r>
          </w:p>
          <w:p>
            <w:pPr>
              <w:ind w:firstLine="480"/>
              <w:rPr>
                <w:rFonts w:hint="eastAsia" w:cs="Times New Roman"/>
                <w:color w:val="0000FF"/>
                <w:kern w:val="0"/>
                <w:lang w:val="en-US" w:eastAsia="zh-CN"/>
              </w:rPr>
            </w:pPr>
            <w:r>
              <w:rPr>
                <w:rFonts w:hint="eastAsia" w:cs="Times New Roman"/>
                <w:color w:val="0000FF"/>
                <w:kern w:val="0"/>
                <w:lang w:val="en-US" w:eastAsia="zh-CN"/>
              </w:rPr>
              <w:t>机械电子：重点发展先进机械制造、电子电器产业，加大对沿海发展地区机械电子企业的招商引资力度。积极搭建公共研发平台，组建产业科技创新联盟，支持企业设立工程实验室、研发中心，不断提高产品附加值和企业竞争力。加大财税金融扶持力度，支持鼓励企业上市融资，探索设立创业企业扶持基金。</w:t>
            </w:r>
          </w:p>
          <w:p>
            <w:pPr>
              <w:ind w:firstLine="480"/>
              <w:rPr>
                <w:rFonts w:hint="eastAsia" w:cs="Times New Roman"/>
                <w:color w:val="0000FF"/>
                <w:kern w:val="0"/>
                <w:lang w:val="en-US" w:eastAsia="zh-CN"/>
              </w:rPr>
            </w:pPr>
            <w:r>
              <w:rPr>
                <w:rFonts w:hint="eastAsia" w:cs="Times New Roman"/>
                <w:color w:val="0000FF"/>
                <w:kern w:val="0"/>
                <w:lang w:val="en-US" w:eastAsia="zh-CN"/>
              </w:rPr>
              <w:t>服装家纺：发挥婺源人力资本优势，着眼于促进城乡居民增收就业，支持鞋服家纺做大做强。积极承接沿海劳动密集型产业转移。强化鞋服家纺设计能力，加强与国内外优秀设计机构的合作，加大自主品牌扶持和只是产权保护力度，不断提高产品附加值。</w:t>
            </w:r>
          </w:p>
          <w:p>
            <w:pPr>
              <w:spacing w:beforeLines="0" w:afterLines="0"/>
              <w:jc w:val="left"/>
              <w:rPr>
                <w:rFonts w:hint="eastAsia" w:ascii="宋体" w:hAnsi="宋体" w:eastAsia="宋体"/>
                <w:color w:val="0000FF"/>
                <w:sz w:val="24"/>
                <w:szCs w:val="24"/>
              </w:rPr>
            </w:pPr>
            <w:r>
              <w:rPr>
                <w:rFonts w:hint="eastAsia" w:ascii="宋体" w:hAnsi="宋体" w:eastAsia="宋体"/>
                <w:color w:val="0000FF"/>
                <w:sz w:val="24"/>
                <w:szCs w:val="24"/>
              </w:rPr>
              <w:t>食品加工：积极引进国内外知名食品及休闲食品，大力发展纯净水、果汁、蔬菜汁、茶叶、竹笋等有机绿色食品和螺旋藻等保健食品加工业，鼓励开展食品工业观光与体验旅游。积极推进全产业链培育，带动上游绿色农作物的种养殖和下游营销渠道拓展，积极向产业链和价值链高端环节延伸拓展。</w:t>
            </w:r>
          </w:p>
          <w:p>
            <w:pPr>
              <w:spacing w:beforeLines="0" w:afterLines="0"/>
              <w:jc w:val="left"/>
              <w:rPr>
                <w:rFonts w:hint="default" w:ascii="Times New Roman" w:hAnsi="Times New Roman" w:eastAsia="宋体" w:cs="Times New Roman"/>
                <w:color w:val="0000FF"/>
                <w:kern w:val="0"/>
                <w:lang w:val="en-US" w:eastAsia="zh-CN"/>
              </w:rPr>
            </w:pPr>
            <w:r>
              <w:rPr>
                <w:rFonts w:hint="eastAsia" w:ascii="宋体" w:hAnsi="宋体" w:eastAsia="宋体"/>
                <w:color w:val="0000FF"/>
                <w:sz w:val="24"/>
                <w:szCs w:val="24"/>
              </w:rPr>
              <w:t>木竹深加工：发挥婺源资源优势，大力发展家具、门、胶合板、木雕、竹制品，部分产品与旅游相挂钩，加强与国内外优秀设计机构的合作，不断提高产品附加值。</w:t>
            </w:r>
          </w:p>
          <w:p>
            <w:pPr>
              <w:ind w:firstLine="480"/>
              <w:rPr>
                <w:rFonts w:hint="eastAsia" w:ascii="Times New Roman" w:hAnsi="Times New Roman" w:eastAsia="宋体" w:cs="Times New Roman"/>
                <w:kern w:val="0"/>
                <w:lang w:eastAsia="zh-CN"/>
              </w:rPr>
            </w:pPr>
            <w:r>
              <w:rPr>
                <w:rFonts w:hint="default" w:ascii="Times New Roman" w:hAnsi="Times New Roman" w:eastAsia="宋体" w:cs="Times New Roman"/>
                <w:color w:val="0000FF"/>
                <w:kern w:val="0"/>
                <w:lang w:val="en-US" w:eastAsia="zh-CN"/>
              </w:rPr>
              <w:t>本项目位于</w:t>
            </w:r>
            <w:r>
              <w:rPr>
                <w:rFonts w:hint="eastAsia" w:ascii="Times New Roman" w:hAnsi="Times New Roman" w:eastAsia="宋体" w:cs="Times New Roman"/>
                <w:color w:val="0000FF"/>
                <w:kern w:val="0"/>
                <w:lang w:val="en-US" w:eastAsia="zh-CN"/>
              </w:rPr>
              <w:t>江西省上饶市婺源县工业园区金庸大道99号</w:t>
            </w:r>
            <w:r>
              <w:rPr>
                <w:rFonts w:hint="eastAsia" w:cs="Times New Roman"/>
                <w:color w:val="0000FF"/>
                <w:kern w:val="0"/>
                <w:lang w:val="en-US" w:eastAsia="zh-CN"/>
              </w:rPr>
              <w:t>，在婺源县工业园区建设范围内，且本项目</w:t>
            </w:r>
            <w:r>
              <w:rPr>
                <w:rFonts w:hint="default" w:ascii="Times New Roman" w:hAnsi="Times New Roman" w:eastAsia="宋体" w:cs="Times New Roman"/>
                <w:color w:val="0000FF"/>
                <w:kern w:val="0"/>
                <w:lang w:val="en-US" w:eastAsia="zh-CN"/>
              </w:rPr>
              <w:t>为</w:t>
            </w:r>
            <w:r>
              <w:rPr>
                <w:rFonts w:hint="eastAsia" w:ascii="Times New Roman" w:hAnsi="Times New Roman" w:eastAsia="宋体" w:cs="Times New Roman"/>
                <w:color w:val="0000FF"/>
                <w:kern w:val="0"/>
                <w:lang w:val="en-US" w:eastAsia="zh-CN"/>
              </w:rPr>
              <w:t>塑料制品制造</w:t>
            </w:r>
            <w:r>
              <w:rPr>
                <w:rFonts w:hint="default" w:ascii="Times New Roman" w:hAnsi="Times New Roman" w:eastAsia="宋体" w:cs="Times New Roman"/>
                <w:color w:val="0000FF"/>
                <w:kern w:val="0"/>
                <w:lang w:val="en-US" w:eastAsia="zh-CN"/>
              </w:rPr>
              <w:t>项目，</w:t>
            </w:r>
            <w:r>
              <w:rPr>
                <w:rFonts w:hint="eastAsia" w:cs="Times New Roman"/>
                <w:color w:val="0000FF"/>
                <w:kern w:val="0"/>
                <w:lang w:val="en-US" w:eastAsia="zh-CN"/>
              </w:rPr>
              <w:t>属于机械电子配套产业，同时</w:t>
            </w:r>
            <w:r>
              <w:rPr>
                <w:rFonts w:hint="eastAsia" w:ascii="Times New Roman" w:hAnsi="Times New Roman" w:eastAsia="宋体" w:cs="Times New Roman"/>
                <w:color w:val="0000FF"/>
                <w:kern w:val="0"/>
                <w:lang w:val="en-US" w:eastAsia="zh-CN"/>
              </w:rPr>
              <w:t>不在园区规划环评的负面清单或禁止引进项目清单中</w:t>
            </w:r>
            <w:r>
              <w:rPr>
                <w:rFonts w:hint="default" w:ascii="Times New Roman" w:hAnsi="Times New Roman" w:eastAsia="宋体" w:cs="Times New Roman"/>
                <w:color w:val="0000FF"/>
                <w:kern w:val="0"/>
                <w:lang w:val="en-US" w:eastAsia="zh-CN"/>
              </w:rPr>
              <w:t>，</w:t>
            </w:r>
            <w:r>
              <w:rPr>
                <w:rFonts w:hint="eastAsia" w:ascii="Times New Roman" w:hAnsi="Times New Roman" w:eastAsia="宋体" w:cs="Times New Roman"/>
                <w:color w:val="0000FF"/>
                <w:kern w:val="0"/>
                <w:lang w:val="en-US" w:eastAsia="zh-CN"/>
              </w:rPr>
              <w:t>符合园区规划要求，与园区产业定位不冲突。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881" w:type="pct"/>
            <w:vAlign w:val="center"/>
          </w:tcPr>
          <w:p>
            <w:pPr>
              <w:autoSpaceDE w:val="0"/>
              <w:autoSpaceDN w:val="0"/>
              <w:adjustRightInd w:val="0"/>
              <w:snapToGrid w:val="0"/>
              <w:ind w:firstLine="0" w:firstLineChars="0"/>
              <w:jc w:val="center"/>
              <w:rPr>
                <w:rFonts w:hint="default" w:ascii="Times New Roman" w:hAnsi="Times New Roman" w:cs="Times New Roman"/>
                <w:kern w:val="0"/>
              </w:rPr>
            </w:pPr>
            <w:r>
              <w:rPr>
                <w:rFonts w:hint="default" w:ascii="Times New Roman" w:hAnsi="Times New Roman" w:cs="Times New Roman"/>
                <w:kern w:val="0"/>
              </w:rPr>
              <w:t>其他符合性分析</w:t>
            </w:r>
          </w:p>
        </w:tc>
        <w:tc>
          <w:tcPr>
            <w:tcW w:w="4118" w:type="pct"/>
            <w:gridSpan w:val="3"/>
            <w:vAlign w:val="center"/>
          </w:tcPr>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1、与产业政策相符性分析</w:t>
            </w:r>
          </w:p>
          <w:p>
            <w:pPr>
              <w:ind w:firstLine="480"/>
              <w:rPr>
                <w:rFonts w:hint="eastAsia" w:cs="Times New Roman"/>
                <w:kern w:val="0"/>
                <w:lang w:val="en-US" w:eastAsia="zh-CN"/>
              </w:rPr>
            </w:pPr>
            <w:r>
              <w:rPr>
                <w:rFonts w:hint="default" w:ascii="Times New Roman" w:hAnsi="Times New Roman" w:cs="Times New Roman"/>
                <w:kern w:val="0"/>
                <w:lang w:val="en-US" w:eastAsia="zh-CN"/>
              </w:rPr>
              <w:t>本项目为</w:t>
            </w:r>
            <w:r>
              <w:rPr>
                <w:rFonts w:hint="eastAsia" w:cs="Times New Roman"/>
                <w:kern w:val="0"/>
                <w:lang w:val="en-US" w:eastAsia="zh-CN"/>
              </w:rPr>
              <w:t>塑料零件及其他塑料制品制造</w:t>
            </w:r>
            <w:r>
              <w:rPr>
                <w:rFonts w:hint="default" w:ascii="Times New Roman" w:hAnsi="Times New Roman" w:cs="Times New Roman"/>
                <w:kern w:val="0"/>
                <w:lang w:val="en-US" w:eastAsia="zh-CN"/>
              </w:rPr>
              <w:t>，</w:t>
            </w:r>
            <w:r>
              <w:rPr>
                <w:rFonts w:hint="eastAsia"/>
                <w:sz w:val="24"/>
                <w:lang w:bidi="ar"/>
              </w:rPr>
              <w:t>属于《产业结构调整指导目录(2019年本)》鼓励类</w:t>
            </w:r>
            <w:r>
              <w:rPr>
                <w:rFonts w:hint="eastAsia"/>
                <w:sz w:val="24"/>
                <w:lang w:eastAsia="zh-CN" w:bidi="ar"/>
              </w:rPr>
              <w:t>中“十九、轻工—</w:t>
            </w:r>
            <w:r>
              <w:rPr>
                <w:rFonts w:hint="eastAsia"/>
                <w:sz w:val="24"/>
                <w:lang w:val="en-US" w:eastAsia="zh-CN" w:bidi="ar"/>
              </w:rPr>
              <w:t>3、生物可降解塑料及其系列产品开发、生产与应用</w:t>
            </w:r>
            <w:r>
              <w:rPr>
                <w:rFonts w:hint="eastAsia"/>
                <w:sz w:val="24"/>
                <w:lang w:eastAsia="zh-CN" w:bidi="ar"/>
              </w:rPr>
              <w:t>”</w:t>
            </w:r>
            <w:r>
              <w:rPr>
                <w:rFonts w:hint="default" w:ascii="Times New Roman" w:hAnsi="Times New Roman" w:cs="Times New Roman"/>
                <w:kern w:val="0"/>
                <w:lang w:val="en-US" w:eastAsia="zh-CN"/>
              </w:rPr>
              <w:t>；</w:t>
            </w:r>
            <w:r>
              <w:rPr>
                <w:rFonts w:hint="eastAsia" w:cs="Times New Roman"/>
                <w:kern w:val="0"/>
                <w:lang w:val="en-US" w:eastAsia="zh-CN"/>
              </w:rPr>
              <w:t>且项目</w:t>
            </w:r>
            <w:r>
              <w:rPr>
                <w:rFonts w:hint="default" w:ascii="Times New Roman" w:hAnsi="Times New Roman" w:cs="Times New Roman"/>
                <w:kern w:val="0"/>
                <w:lang w:val="en-US" w:eastAsia="zh-CN"/>
              </w:rPr>
              <w:t>所用生产设备均不属于《高耗能落后机电设备（产品）淘汰目录》中落后和淘汰设备之列；</w:t>
            </w:r>
            <w:r>
              <w:rPr>
                <w:rFonts w:hint="eastAsia" w:cs="Times New Roman"/>
                <w:kern w:val="0"/>
                <w:lang w:val="en-US" w:eastAsia="zh-CN"/>
              </w:rPr>
              <w:t>婺源县发展和改革委员会</w:t>
            </w:r>
            <w:r>
              <w:rPr>
                <w:rFonts w:hint="default" w:ascii="Times New Roman" w:hAnsi="Times New Roman" w:cs="Times New Roman"/>
                <w:kern w:val="0"/>
                <w:lang w:val="en-US" w:eastAsia="zh-CN"/>
              </w:rPr>
              <w:t>已对项目进行了备案（</w:t>
            </w:r>
            <w:r>
              <w:rPr>
                <w:rFonts w:hint="eastAsia" w:cs="Times New Roman"/>
                <w:lang w:val="en-US" w:eastAsia="zh-CN"/>
              </w:rPr>
              <w:t>2201-361130-04-05-413895</w:t>
            </w:r>
            <w:r>
              <w:rPr>
                <w:rFonts w:hint="default" w:ascii="Times New Roman" w:hAnsi="Times New Roman" w:cs="Times New Roman"/>
                <w:kern w:val="0"/>
                <w:lang w:val="en-US" w:eastAsia="zh-CN"/>
              </w:rPr>
              <w:t>）</w:t>
            </w:r>
            <w:r>
              <w:rPr>
                <w:rFonts w:hint="eastAsia" w:cs="Times New Roman"/>
                <w:kern w:val="0"/>
                <w:lang w:val="en-US" w:eastAsia="zh-CN"/>
              </w:rPr>
              <w:t>。</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因此</w:t>
            </w:r>
            <w:r>
              <w:rPr>
                <w:rFonts w:hint="eastAsia" w:cs="Times New Roman"/>
                <w:kern w:val="0"/>
                <w:lang w:val="en-US" w:eastAsia="zh-CN"/>
              </w:rPr>
              <w:t>，</w:t>
            </w:r>
            <w:r>
              <w:rPr>
                <w:rFonts w:hint="default" w:ascii="Times New Roman" w:hAnsi="Times New Roman" w:cs="Times New Roman"/>
                <w:kern w:val="0"/>
                <w:lang w:val="en-US" w:eastAsia="zh-CN"/>
              </w:rPr>
              <w:t>本项目符合国家及地方相关产业政策。</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2</w:t>
            </w:r>
            <w:r>
              <w:rPr>
                <w:rFonts w:hint="default" w:ascii="Times New Roman" w:hAnsi="Times New Roman" w:cs="Times New Roman"/>
                <w:color w:val="000000" w:themeColor="text1"/>
                <w:kern w:val="0"/>
                <w:lang w:val="en-US" w:eastAsia="zh-CN"/>
                <w14:textFill>
                  <w14:solidFill>
                    <w14:schemeClr w14:val="tx1"/>
                  </w14:solidFill>
                </w14:textFill>
              </w:rPr>
              <w:t>、与“三线一单”相符性分析</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①生态保护红线</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项目位于</w:t>
            </w:r>
            <w:r>
              <w:rPr>
                <w:rFonts w:hint="eastAsia" w:cs="Times New Roman"/>
                <w:color w:val="000000" w:themeColor="text1"/>
                <w:lang w:eastAsia="zh-CN"/>
                <w14:textFill>
                  <w14:solidFill>
                    <w14:schemeClr w14:val="tx1"/>
                  </w14:solidFill>
                </w14:textFill>
              </w:rPr>
              <w:t>江西省上饶市婺源县工业园区金庸大道99号</w:t>
            </w:r>
            <w:r>
              <w:rPr>
                <w:rFonts w:hint="default" w:ascii="Times New Roman" w:hAnsi="Times New Roman" w:cs="Times New Roman"/>
                <w:kern w:val="0"/>
                <w:lang w:val="en-US" w:eastAsia="zh-CN"/>
              </w:rPr>
              <w:t>，项目周边无重要文物保护、风景名胜区和生态敏感点等特殊环境保护目标。根据《江西省生态保护红线》，项目建设而不涉及《江西省生态保护红线》划定的生态红线区域，故项目建设符合江西省生态红线区域保护规划。</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②环境质量底线</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项目所在区域的环境质量底线为：环境空气质量目标为《环境空气质量标准》（GB3095-2012）二级标准，地表水环境质量目标为《地表水环境质量标准》Ⅲ类标准，声环境目标为《声环境质量标准》（GB3096-2008）中</w:t>
            </w:r>
            <w:r>
              <w:rPr>
                <w:rFonts w:hint="eastAsia" w:cs="Times New Roman"/>
                <w:kern w:val="0"/>
                <w:lang w:val="en-US" w:eastAsia="zh-CN"/>
              </w:rPr>
              <w:t>3</w:t>
            </w:r>
            <w:r>
              <w:rPr>
                <w:rFonts w:hint="default" w:ascii="Times New Roman" w:hAnsi="Times New Roman" w:cs="Times New Roman"/>
                <w:kern w:val="0"/>
                <w:lang w:val="en-US" w:eastAsia="zh-CN"/>
              </w:rPr>
              <w:t>类标准。</w:t>
            </w:r>
          </w:p>
          <w:p>
            <w:pPr>
              <w:ind w:firstLine="480"/>
              <w:rPr>
                <w:rFonts w:hint="default" w:ascii="Times New Roman" w:hAnsi="Times New Roman" w:cs="Times New Roman"/>
                <w:kern w:val="0"/>
                <w:lang w:val="en-US" w:eastAsia="zh-CN"/>
              </w:rPr>
            </w:pPr>
            <w:r>
              <w:rPr>
                <w:rFonts w:hint="eastAsia" w:cs="Times New Roman"/>
                <w:kern w:val="0"/>
                <w:lang w:val="en-US" w:eastAsia="zh-CN"/>
              </w:rPr>
              <w:t>本项目废水、废气、噪声经采取措施后均能够达标排放</w:t>
            </w:r>
            <w:r>
              <w:rPr>
                <w:rFonts w:hint="default" w:ascii="Times New Roman" w:hAnsi="Times New Roman" w:cs="Times New Roman"/>
                <w:kern w:val="0"/>
                <w:lang w:val="en-US" w:eastAsia="zh-CN"/>
              </w:rPr>
              <w:t>，固废可做到无害化处置。采取环评提出的相关防治措施后，项目排放的污染物不会突破区域环境质量底线。</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③资源利用上限</w:t>
            </w:r>
          </w:p>
          <w:p>
            <w:pPr>
              <w:ind w:firstLine="480"/>
              <w:rPr>
                <w:rFonts w:hint="default" w:ascii="Times New Roman" w:hAnsi="Times New Roman" w:cs="Times New Roman"/>
                <w:kern w:val="0"/>
                <w:lang w:val="en-US" w:eastAsia="zh-CN"/>
              </w:rPr>
            </w:pPr>
            <w:r>
              <w:rPr>
                <w:rFonts w:hint="eastAsia" w:cs="Times New Roman"/>
                <w:kern w:val="0"/>
                <w:lang w:val="en-US" w:eastAsia="zh-CN"/>
              </w:rPr>
              <w:t>本项目运营过程中消耗一定量的水及电能，不使用燃料，项目资源消耗量相对区域利用总量较少，因此符合资源利用上限要求</w:t>
            </w:r>
            <w:r>
              <w:rPr>
                <w:rFonts w:hint="default" w:ascii="Times New Roman" w:hAnsi="Times New Roman" w:cs="Times New Roman"/>
                <w:kern w:val="0"/>
                <w:lang w:val="en-US" w:eastAsia="zh-CN"/>
              </w:rPr>
              <w:t>。</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④环境准入负面清单</w:t>
            </w:r>
          </w:p>
          <w:p>
            <w:pPr>
              <w:ind w:firstLine="480"/>
              <w:rPr>
                <w:rFonts w:hint="eastAsia" w:cs="Times New Roman"/>
                <w:lang w:eastAsia="zh-CN"/>
              </w:rPr>
            </w:pPr>
            <w:r>
              <w:rPr>
                <w:rFonts w:hint="default" w:ascii="Times New Roman" w:hAnsi="Times New Roman" w:cs="Times New Roman"/>
              </w:rPr>
              <w:t>本项目不在江西省第一批国家重点生态功能区产业准入负面清单（赣发改规划[2017]448号）和江西省第二批国家重点生态功能区产业准入负面清单（赣发改规划[2018]112号）内；项目属于《产业结构调整指导目录》（2019年本）中</w:t>
            </w:r>
            <w:r>
              <w:rPr>
                <w:rFonts w:hint="eastAsia" w:cs="Times New Roman"/>
                <w:lang w:eastAsia="zh-CN"/>
              </w:rPr>
              <w:t>鼓励类。</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综上所述，本项目符合“三线一单”相关要求。</w:t>
            </w:r>
          </w:p>
          <w:p>
            <w:pPr>
              <w:ind w:firstLine="480"/>
              <w:rPr>
                <w:rFonts w:hint="default" w:ascii="Times New Roman" w:hAnsi="Times New Roman" w:cs="Times New Roman"/>
                <w:color w:val="000000" w:themeColor="text1"/>
                <w:kern w:val="0"/>
                <w:lang w:val="en-US" w:eastAsia="zh-CN"/>
                <w14:textFill>
                  <w14:solidFill>
                    <w14:schemeClr w14:val="tx1"/>
                  </w14:solidFill>
                </w14:textFill>
              </w:rPr>
            </w:pPr>
            <w:r>
              <w:rPr>
                <w:rFonts w:hint="eastAsia" w:cs="Times New Roman"/>
                <w:color w:val="000000" w:themeColor="text1"/>
                <w:kern w:val="0"/>
                <w:lang w:val="en-US" w:eastAsia="zh-CN"/>
                <w14:textFill>
                  <w14:solidFill>
                    <w14:schemeClr w14:val="tx1"/>
                  </w14:solidFill>
                </w14:textFill>
              </w:rPr>
              <w:t>4</w:t>
            </w:r>
            <w:r>
              <w:rPr>
                <w:rFonts w:hint="default" w:ascii="Times New Roman" w:hAnsi="Times New Roman" w:cs="Times New Roman"/>
                <w:color w:val="000000" w:themeColor="text1"/>
                <w:kern w:val="0"/>
                <w:lang w:val="en-US" w:eastAsia="zh-CN"/>
                <w14:textFill>
                  <w14:solidFill>
                    <w14:schemeClr w14:val="tx1"/>
                  </w14:solidFill>
                </w14:textFill>
              </w:rPr>
              <w:t>、与上饶市“三线一单”生态环境分区管控方案的相符性</w:t>
            </w:r>
          </w:p>
          <w:p>
            <w:pPr>
              <w:bidi w:val="0"/>
              <w:rPr>
                <w:rFonts w:hint="eastAsia"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项目所在地为江西省上饶市婺源县重点管控单元2，环境管控单元编码为</w:t>
            </w:r>
            <w:r>
              <w:rPr>
                <w:rFonts w:hint="eastAsia"/>
                <w:color w:val="000000" w:themeColor="text1"/>
                <w:sz w:val="24"/>
                <w:lang w:val="en-US" w:eastAsia="zh-CN"/>
                <w14:textFill>
                  <w14:solidFill>
                    <w14:schemeClr w14:val="tx1"/>
                  </w14:solidFill>
                </w14:textFill>
              </w:rPr>
              <w:t>ZH36113020002</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属于重点管控单元</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本项目与</w:t>
            </w:r>
            <w:r>
              <w:rPr>
                <w:rFonts w:hint="eastAsia" w:cs="Times New Roman"/>
                <w:color w:val="000000" w:themeColor="text1"/>
                <w:lang w:val="en-US" w:eastAsia="zh-CN"/>
                <w14:textFill>
                  <w14:solidFill>
                    <w14:schemeClr w14:val="tx1"/>
                  </w14:solidFill>
                </w14:textFill>
              </w:rPr>
              <w:t>饶环字[2021]2号文相符性见表1-1。</w:t>
            </w:r>
          </w:p>
          <w:p>
            <w:pPr>
              <w:pStyle w:val="77"/>
              <w:bidi w:val="0"/>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表1-1  与饶环字〔2021〕2号相符性分析</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390"/>
              <w:gridCol w:w="1167"/>
              <w:gridCol w:w="3045"/>
              <w:gridCol w:w="1799"/>
              <w:gridCol w:w="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665"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区域</w:t>
                  </w:r>
                </w:p>
              </w:tc>
              <w:tc>
                <w:tcPr>
                  <w:tcW w:w="25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维度</w:t>
                  </w:r>
                </w:p>
              </w:tc>
              <w:tc>
                <w:tcPr>
                  <w:tcW w:w="74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清单编制要求</w:t>
                  </w:r>
                </w:p>
              </w:tc>
              <w:tc>
                <w:tcPr>
                  <w:tcW w:w="195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生态环境准入要求</w:t>
                  </w:r>
                </w:p>
              </w:tc>
              <w:tc>
                <w:tcPr>
                  <w:tcW w:w="115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本项目概况</w:t>
                  </w:r>
                </w:p>
              </w:tc>
              <w:tc>
                <w:tcPr>
                  <w:tcW w:w="228"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restart"/>
                  <w:tcBorders>
                    <w:top w:val="single" w:color="auto" w:sz="4" w:space="0"/>
                    <w:left w:val="single" w:color="auto" w:sz="4" w:space="0"/>
                    <w:right w:val="single" w:color="auto" w:sz="4" w:space="0"/>
                  </w:tcBorders>
                  <w:noWrap/>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江西省上饶市婺源县重点管控单元 1</w:t>
                  </w:r>
                  <w:r>
                    <w:rPr>
                      <w:rFonts w:hint="eastAsia"/>
                      <w:b w:val="0"/>
                      <w:bCs w:val="0"/>
                      <w:color w:val="000000" w:themeColor="text1"/>
                      <w:sz w:val="18"/>
                      <w:szCs w:val="18"/>
                      <w:lang w:eastAsia="zh-CN"/>
                      <w14:textFill>
                        <w14:solidFill>
                          <w14:schemeClr w14:val="tx1"/>
                        </w14:solidFill>
                      </w14:textFill>
                    </w:rPr>
                    <w:t>（</w:t>
                  </w:r>
                  <w:r>
                    <w:rPr>
                      <w:rFonts w:hint="eastAsia"/>
                      <w:b w:val="0"/>
                      <w:bCs w:val="0"/>
                      <w:color w:val="000000" w:themeColor="text1"/>
                      <w:sz w:val="18"/>
                      <w:szCs w:val="18"/>
                      <w:lang w:val="en-US" w:eastAsia="zh-CN"/>
                      <w14:textFill>
                        <w14:solidFill>
                          <w14:schemeClr w14:val="tx1"/>
                        </w14:solidFill>
                      </w14:textFill>
                    </w:rPr>
                    <w:t>编码：ZH36113020002</w:t>
                  </w:r>
                  <w:r>
                    <w:rPr>
                      <w:rFonts w:hint="eastAsia"/>
                      <w:b w:val="0"/>
                      <w:bCs w:val="0"/>
                      <w:color w:val="000000" w:themeColor="text1"/>
                      <w:sz w:val="18"/>
                      <w:szCs w:val="18"/>
                      <w:lang w:eastAsia="zh-CN"/>
                      <w14:textFill>
                        <w14:solidFill>
                          <w14:schemeClr w14:val="tx1"/>
                        </w14:solidFill>
                      </w14:textFill>
                    </w:rPr>
                    <w:t>）</w:t>
                  </w:r>
                </w:p>
              </w:tc>
              <w:tc>
                <w:tcPr>
                  <w:tcW w:w="250" w:type="pct"/>
                  <w:tcBorders>
                    <w:top w:val="single" w:color="auto" w:sz="4" w:space="0"/>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空间布局约束</w:t>
                  </w:r>
                </w:p>
              </w:tc>
              <w:tc>
                <w:tcPr>
                  <w:tcW w:w="748" w:type="pct"/>
                  <w:tcBorders>
                    <w:top w:val="single" w:color="auto" w:sz="4" w:space="0"/>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限制开发建设活动的要求</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18"/>
                      <w:szCs w:val="18"/>
                      <w:lang w:val="en-US" w:eastAsia="zh-CN"/>
                    </w:rPr>
                  </w:pPr>
                  <w:r>
                    <w:rPr>
                      <w:rFonts w:hint="eastAsia"/>
                      <w:b w:val="0"/>
                      <w:bCs w:val="0"/>
                      <w:sz w:val="18"/>
                      <w:szCs w:val="18"/>
                      <w:lang w:val="en-US" w:eastAsia="zh-CN"/>
                    </w:rPr>
                    <w:t>乐安河1公里范围内禁止新建重化工项目。</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园区规划大气污染型产业片区与周边居民集中区留足缓冲地带，缓冲区域内不得新建该类项目</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本项目不属于重化工项目</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250" w:type="pct"/>
                  <w:vMerge w:val="restar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r>
                    <w:rPr>
                      <w:b w:val="0"/>
                      <w:bCs w:val="0"/>
                      <w:color w:val="000000" w:themeColor="text1"/>
                      <w:sz w:val="18"/>
                      <w:szCs w:val="18"/>
                      <w14:textFill>
                        <w14:solidFill>
                          <w14:schemeClr w14:val="tx1"/>
                        </w14:solidFill>
                      </w14:textFill>
                    </w:rPr>
                    <w:t>污染物排放管控</w:t>
                  </w:r>
                </w:p>
              </w:tc>
              <w:tc>
                <w:tcPr>
                  <w:tcW w:w="748" w:type="pct"/>
                  <w:tcBorders>
                    <w:top w:val="single" w:color="auto" w:sz="4" w:space="0"/>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新增源等量或倍量替代</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18"/>
                      <w:szCs w:val="18"/>
                      <w:lang w:val="en-US" w:eastAsia="zh-CN"/>
                    </w:rPr>
                  </w:pPr>
                  <w:r>
                    <w:rPr>
                      <w:rFonts w:hint="eastAsia"/>
                      <w:b w:val="0"/>
                      <w:bCs w:val="0"/>
                      <w:sz w:val="18"/>
                      <w:szCs w:val="18"/>
                      <w:lang w:val="en-US" w:eastAsia="zh-CN"/>
                    </w:rPr>
                    <w:t>新、改、扩建涉重金属重点行业建设项目重点重金属污染物排放减量置换或等量替换。</w:t>
                  </w:r>
                </w:p>
                <w:p>
                  <w:pPr>
                    <w:pageBreakBefore w:val="0"/>
                    <w:widowControl w:val="0"/>
                    <w:numPr>
                      <w:ilvl w:val="0"/>
                      <w:numId w:val="2"/>
                    </w:numPr>
                    <w:kinsoku/>
                    <w:wordWrap/>
                    <w:overflowPunct/>
                    <w:topLinePunct w:val="0"/>
                    <w:autoSpaceDE/>
                    <w:autoSpaceDN/>
                    <w:bidi w:val="0"/>
                    <w:adjustRightInd/>
                    <w:snapToGrid/>
                    <w:spacing w:line="240" w:lineRule="auto"/>
                    <w:ind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若上一年度水环境质量不达标，相关污染物进行2倍削减替代。</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本项目不涉及重金属排放；上一年度水环境质量达标</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250"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748" w:type="pc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新增源排放标准限值</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新建各类建设项目，其排放污染物应达到相应行业排放限值、《大气污染物综合排放标准》二级、《污水综合排放标准》一级、《城镇污水处理厂污染物排放标准》一级</w:t>
                  </w:r>
                  <w:r>
                    <w:rPr>
                      <w:rFonts w:hint="eastAsia"/>
                      <w:b w:val="0"/>
                      <w:bCs w:val="0"/>
                      <w:color w:val="000000" w:themeColor="text1"/>
                      <w:sz w:val="18"/>
                      <w:szCs w:val="18"/>
                      <w:lang w:val="en-US" w:eastAsia="zh-CN"/>
                      <w14:textFill>
                        <w14:solidFill>
                          <w14:schemeClr w14:val="tx1"/>
                        </w14:solidFill>
                      </w14:textFill>
                    </w:rPr>
                    <w:t>B等排放限值或集中污水处理厂纳管限值要求。</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本项目建成后废水及废气排放均能满足相应的标准</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color w:val="000000" w:themeColor="text1"/>
                      <w:sz w:val="18"/>
                      <w:szCs w:val="18"/>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250"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748" w:type="pc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污染物排放绩效水平准入要求</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污染物排放绩效水平应达到国内先进水平。</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本项目污染物排放绩效水平能达到国内先进水平</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250" w:type="pct"/>
                  <w:vMerge w:val="restar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r>
                    <w:rPr>
                      <w:rFonts w:hint="eastAsia"/>
                      <w:b w:val="0"/>
                      <w:bCs w:val="0"/>
                      <w:color w:val="000000" w:themeColor="text1"/>
                      <w:sz w:val="18"/>
                      <w:szCs w:val="18"/>
                      <w14:textFill>
                        <w14:solidFill>
                          <w14:schemeClr w14:val="tx1"/>
                        </w14:solidFill>
                      </w14:textFill>
                    </w:rPr>
                    <w:t>环境风险防控</w:t>
                  </w:r>
                </w:p>
              </w:tc>
              <w:tc>
                <w:tcPr>
                  <w:tcW w:w="748" w:type="pc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园区环境风险防控要求</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18"/>
                      <w:szCs w:val="18"/>
                      <w:lang w:val="en-US" w:eastAsia="zh-CN"/>
                    </w:rPr>
                  </w:pPr>
                  <w:r>
                    <w:rPr>
                      <w:rFonts w:hint="eastAsia"/>
                      <w:b w:val="0"/>
                      <w:bCs w:val="0"/>
                      <w:sz w:val="18"/>
                      <w:szCs w:val="18"/>
                      <w:lang w:val="en-US" w:eastAsia="zh-CN"/>
                    </w:rPr>
                    <w:t>紧邻居住、科教、医院等环境敏感点的工业用地，禁止新建环境风险等级为Ⅳ的建设项目。</w:t>
                  </w:r>
                </w:p>
                <w:p>
                  <w:pPr>
                    <w:pageBreakBefore w:val="0"/>
                    <w:widowControl w:val="0"/>
                    <w:numPr>
                      <w:ilvl w:val="0"/>
                      <w:numId w:val="3"/>
                    </w:numPr>
                    <w:kinsoku/>
                    <w:wordWrap/>
                    <w:overflowPunct/>
                    <w:topLinePunct w:val="0"/>
                    <w:autoSpaceDE/>
                    <w:autoSpaceDN/>
                    <w:bidi w:val="0"/>
                    <w:adjustRightInd/>
                    <w:snapToGrid/>
                    <w:spacing w:line="240" w:lineRule="auto"/>
                    <w:ind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园区应建立水、发起三级环境风险防控体系。</w:t>
                  </w:r>
                </w:p>
              </w:tc>
              <w:tc>
                <w:tcPr>
                  <w:tcW w:w="1153" w:type="pct"/>
                  <w:tcBorders>
                    <w:top w:val="single" w:color="auto" w:sz="4" w:space="0"/>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本项目不紧邻居住、科教医院等环境敏感点</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250"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748" w:type="pc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企业环境风险防控要求</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18"/>
                      <w:szCs w:val="18"/>
                      <w:lang w:val="en-US" w:eastAsia="zh-CN"/>
                    </w:rPr>
                  </w:pPr>
                  <w:r>
                    <w:rPr>
                      <w:rFonts w:hint="eastAsia"/>
                      <w:b w:val="0"/>
                      <w:bCs w:val="0"/>
                      <w:sz w:val="18"/>
                      <w:szCs w:val="18"/>
                      <w:lang w:val="en-US" w:eastAsia="zh-CN"/>
                    </w:rPr>
                    <w:t>生产、存储危险化学品及产生大量废水的企业，应配套有效措施，防止因渗漏污染地下水、土壤，以及因事故废水直排污染地表水。</w:t>
                  </w:r>
                </w:p>
                <w:p>
                  <w:pPr>
                    <w:pageBreakBefore w:val="0"/>
                    <w:widowControl w:val="0"/>
                    <w:numPr>
                      <w:ilvl w:val="0"/>
                      <w:numId w:val="4"/>
                    </w:numPr>
                    <w:kinsoku/>
                    <w:wordWrap/>
                    <w:overflowPunct/>
                    <w:topLinePunct w:val="0"/>
                    <w:autoSpaceDE/>
                    <w:autoSpaceDN/>
                    <w:bidi w:val="0"/>
                    <w:adjustRightInd/>
                    <w:snapToGrid/>
                    <w:spacing w:line="240" w:lineRule="auto"/>
                    <w:ind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产生、利用或处置固体废物（含危险废物）的企业，在贮存、转移、利用、处置固体废物（含危险废物）过程中，应配套防扬散、防流失、防渗漏及其他防止污染环境的措施。</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本项目不涉及危险化学品储存；本项目属于固废产生企业，固废暂存于固废间内，并配备防扬散、防流失、防渗漏及其他防止污染环境的措施</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250" w:type="pct"/>
                  <w:vMerge w:val="restar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资源利用效率要求</w:t>
                  </w:r>
                </w:p>
              </w:tc>
              <w:tc>
                <w:tcPr>
                  <w:tcW w:w="748" w:type="pc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水资源利用效率要求</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5"/>
                    </w:numPr>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18"/>
                      <w:szCs w:val="18"/>
                      <w:lang w:val="en-US" w:eastAsia="zh-CN"/>
                    </w:rPr>
                  </w:pPr>
                  <w:r>
                    <w:rPr>
                      <w:rFonts w:hint="eastAsia"/>
                      <w:b w:val="0"/>
                      <w:bCs w:val="0"/>
                      <w:sz w:val="18"/>
                      <w:szCs w:val="18"/>
                      <w:lang w:val="en-US" w:eastAsia="zh-CN"/>
                    </w:rPr>
                    <w:t>园区工业用水重复利用率不得低于75%。</w:t>
                  </w:r>
                </w:p>
                <w:p>
                  <w:pPr>
                    <w:pStyle w:val="4"/>
                    <w:pageBreakBefore w:val="0"/>
                    <w:widowControl w:val="0"/>
                    <w:numPr>
                      <w:ilvl w:val="0"/>
                      <w:numId w:val="5"/>
                    </w:numPr>
                    <w:kinsoku/>
                    <w:wordWrap/>
                    <w:overflowPunct/>
                    <w:topLinePunct w:val="0"/>
                    <w:autoSpaceDE/>
                    <w:autoSpaceDN/>
                    <w:bidi w:val="0"/>
                    <w:adjustRightInd/>
                    <w:snapToGrid/>
                    <w:spacing w:before="0" w:after="0" w:line="240" w:lineRule="auto"/>
                    <w:ind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到2020年，万元国内生产总值用水量比2015年下降29%。</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65"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250" w:type="pct"/>
                  <w:vMerge w:val="continue"/>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b w:val="0"/>
                      <w:bCs w:val="0"/>
                      <w:color w:val="000000" w:themeColor="text1"/>
                      <w:sz w:val="18"/>
                      <w:szCs w:val="18"/>
                      <w14:textFill>
                        <w14:solidFill>
                          <w14:schemeClr w14:val="tx1"/>
                        </w14:solidFill>
                      </w14:textFill>
                    </w:rPr>
                  </w:pPr>
                </w:p>
              </w:tc>
              <w:tc>
                <w:tcPr>
                  <w:tcW w:w="748" w:type="pct"/>
                  <w:tcBorders>
                    <w:left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color w:val="000000" w:themeColor="text1"/>
                      <w:sz w:val="18"/>
                      <w:szCs w:val="18"/>
                      <w:lang w:eastAsia="zh-CN"/>
                      <w14:textFill>
                        <w14:solidFill>
                          <w14:schemeClr w14:val="tx1"/>
                        </w14:solidFill>
                      </w14:textFill>
                    </w:rPr>
                  </w:pPr>
                  <w:r>
                    <w:rPr>
                      <w:rFonts w:hint="eastAsia"/>
                      <w:b w:val="0"/>
                      <w:bCs w:val="0"/>
                      <w:color w:val="000000" w:themeColor="text1"/>
                      <w:sz w:val="18"/>
                      <w:szCs w:val="18"/>
                      <w:lang w:eastAsia="zh-CN"/>
                      <w14:textFill>
                        <w14:solidFill>
                          <w14:schemeClr w14:val="tx1"/>
                        </w14:solidFill>
                      </w14:textFill>
                    </w:rPr>
                    <w:t>能源利用效率要求</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numPr>
                      <w:ilvl w:val="0"/>
                      <w:numId w:val="0"/>
                    </w:numPr>
                    <w:kinsoku/>
                    <w:wordWrap/>
                    <w:overflowPunct/>
                    <w:topLinePunct w:val="0"/>
                    <w:autoSpaceDE/>
                    <w:autoSpaceDN/>
                    <w:bidi w:val="0"/>
                    <w:adjustRightInd/>
                    <w:snapToGrid/>
                    <w:spacing w:line="240" w:lineRule="auto"/>
                    <w:ind w:firstLine="0" w:firstLineChars="0"/>
                    <w:jc w:val="center"/>
                    <w:textAlignment w:val="auto"/>
                    <w:rPr>
                      <w:rFonts w:hint="default"/>
                      <w:b w:val="0"/>
                      <w:bCs w:val="0"/>
                      <w:sz w:val="18"/>
                      <w:szCs w:val="18"/>
                      <w:lang w:val="en-US" w:eastAsia="zh-CN"/>
                    </w:rPr>
                  </w:pPr>
                  <w:r>
                    <w:rPr>
                      <w:rFonts w:hint="eastAsia"/>
                      <w:b w:val="0"/>
                      <w:bCs w:val="0"/>
                      <w:sz w:val="18"/>
                      <w:szCs w:val="18"/>
                      <w:lang w:val="en-US" w:eastAsia="zh-CN"/>
                    </w:rPr>
                    <w:t>到2020年，万元国内生产总值能耗比2015年下降16%</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w:t>
                  </w:r>
                </w:p>
              </w:tc>
              <w:tc>
                <w:tcPr>
                  <w:tcW w:w="228" w:type="pct"/>
                  <w:tcBorders>
                    <w:top w:val="single" w:color="auto" w:sz="4" w:space="0"/>
                    <w:left w:val="single" w:color="auto" w:sz="4" w:space="0"/>
                    <w:bottom w:val="single" w:color="auto" w:sz="4" w:space="0"/>
                    <w:right w:val="single" w:color="auto" w:sz="4" w:space="0"/>
                  </w:tcBorders>
                  <w:noWrap w:val="0"/>
                  <w:vAlign w:val="center"/>
                </w:tcPr>
                <w:p>
                  <w:pPr>
                    <w:pStyle w:val="7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color w:val="000000" w:themeColor="text1"/>
                      <w:sz w:val="18"/>
                      <w:szCs w:val="18"/>
                      <w:lang w:val="en-US" w:eastAsia="zh-CN"/>
                      <w14:textFill>
                        <w14:solidFill>
                          <w14:schemeClr w14:val="tx1"/>
                        </w14:solidFill>
                      </w14:textFill>
                    </w:rPr>
                  </w:pPr>
                  <w:r>
                    <w:rPr>
                      <w:rFonts w:hint="eastAsia"/>
                      <w:b w:val="0"/>
                      <w:bCs w:val="0"/>
                      <w:color w:val="000000" w:themeColor="text1"/>
                      <w:sz w:val="18"/>
                      <w:szCs w:val="18"/>
                      <w:lang w:val="en-US" w:eastAsia="zh-CN"/>
                      <w14:textFill>
                        <w14:solidFill>
                          <w14:schemeClr w14:val="tx1"/>
                        </w14:solidFill>
                      </w14:textFill>
                    </w:rPr>
                    <w:t>/</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eastAsia="宋体" w:cs="Times New Roman"/>
                <w:b w:val="0"/>
                <w:bCs w:val="0"/>
                <w:sz w:val="24"/>
                <w:lang w:val="en-US" w:eastAsia="zh-CN"/>
              </w:rPr>
            </w:pPr>
            <w:r>
              <w:rPr>
                <w:rFonts w:hint="eastAsia" w:eastAsia="宋体" w:cs="Times New Roman"/>
                <w:b w:val="0"/>
                <w:bCs w:val="0"/>
                <w:sz w:val="24"/>
                <w:lang w:val="en-US" w:eastAsia="zh-CN"/>
              </w:rPr>
              <w:t>综上，本项目符合《上饶市生态环境局关于发布上饶市“三线一单”各管控单元生态环境准入清单的通知》（饶环字[2021]2号）有关要求。</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Times New Roman" w:hAnsi="Times New Roman" w:eastAsia="宋体" w:cs="Times New Roman"/>
                <w:color w:val="000000"/>
                <w:kern w:val="0"/>
                <w:sz w:val="24"/>
                <w:szCs w:val="24"/>
                <w:shd w:val="clear" w:color="auto" w:fill="auto"/>
                <w:lang w:val="en-US" w:eastAsia="zh-CN" w:bidi="ar-SA"/>
              </w:rPr>
            </w:pPr>
            <w:r>
              <w:rPr>
                <w:rFonts w:hint="eastAsia" w:eastAsia="宋体" w:cs="Times New Roman"/>
                <w:b w:val="0"/>
                <w:bCs w:val="0"/>
                <w:sz w:val="24"/>
                <w:lang w:val="en-US" w:eastAsia="zh-CN"/>
              </w:rPr>
              <w:t>5</w:t>
            </w:r>
            <w:r>
              <w:rPr>
                <w:rFonts w:hint="eastAsia" w:ascii="Times New Roman" w:hAnsi="Times New Roman" w:eastAsia="宋体" w:cs="Times New Roman"/>
                <w:b w:val="0"/>
                <w:bCs w:val="0"/>
                <w:sz w:val="24"/>
                <w:lang w:val="en-US" w:eastAsia="zh-CN"/>
              </w:rPr>
              <w:t>、</w:t>
            </w:r>
            <w:r>
              <w:rPr>
                <w:rFonts w:hint="eastAsia" w:ascii="Times New Roman" w:hAnsi="Times New Roman" w:eastAsia="宋体" w:cs="Times New Roman"/>
                <w:color w:val="000000"/>
                <w:kern w:val="0"/>
                <w:sz w:val="24"/>
                <w:szCs w:val="24"/>
                <w:shd w:val="clear" w:color="auto" w:fill="auto"/>
                <w:lang w:val="en-US" w:eastAsia="zh-CN" w:bidi="ar-SA"/>
              </w:rPr>
              <w:t>与《关于加强高能耗、高排放建设项目生态环境源头防控的指导意见》（环环评[2021]45号）相符性分析。</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cs="Times New Roman"/>
                <w:color w:val="000000"/>
                <w:kern w:val="0"/>
                <w:sz w:val="24"/>
                <w:szCs w:val="24"/>
                <w:shd w:val="clear" w:color="auto" w:fill="auto"/>
                <w:lang w:val="en-US" w:eastAsia="zh-CN" w:bidi="ar-SA"/>
              </w:rPr>
            </w:pPr>
            <w:r>
              <w:rPr>
                <w:rFonts w:hint="eastAsia" w:cs="Times New Roman"/>
                <w:color w:val="000000"/>
                <w:kern w:val="0"/>
                <w:sz w:val="24"/>
                <w:szCs w:val="24"/>
                <w:shd w:val="clear" w:color="auto" w:fill="auto"/>
                <w:lang w:val="en-US" w:eastAsia="zh-CN" w:bidi="ar-SA"/>
              </w:rPr>
              <w:t>本项目为塑料零件及其他塑料制品制造，位于</w:t>
            </w:r>
            <w:r>
              <w:rPr>
                <w:rFonts w:hint="eastAsia" w:cs="Times New Roman"/>
                <w:color w:val="000000" w:themeColor="text1"/>
                <w:lang w:eastAsia="zh-CN"/>
                <w14:textFill>
                  <w14:solidFill>
                    <w14:schemeClr w14:val="tx1"/>
                  </w14:solidFill>
                </w14:textFill>
              </w:rPr>
              <w:t>江西省上饶市婺源县工业园区金庸大道99号</w:t>
            </w:r>
            <w:r>
              <w:rPr>
                <w:rFonts w:hint="eastAsia" w:cs="Times New Roman"/>
                <w:color w:val="000000"/>
                <w:kern w:val="0"/>
                <w:sz w:val="24"/>
                <w:szCs w:val="24"/>
                <w:shd w:val="clear" w:color="auto" w:fill="auto"/>
                <w:lang w:val="en-US" w:eastAsia="zh-CN" w:bidi="ar-SA"/>
              </w:rPr>
              <w:t>。项目生产过程中不涉及高污染燃料使用，不产生高污染废物，所用生产设备均不属于《高耗能落后机电设备（产品）淘汰目录》中落后和淘汰设备之列，</w:t>
            </w:r>
            <w:r>
              <w:rPr>
                <w:rFonts w:hint="eastAsia" w:cs="Times New Roman"/>
                <w:kern w:val="0"/>
                <w:lang w:val="en-US" w:eastAsia="zh-CN"/>
              </w:rPr>
              <w:t>婺源县发展和改革委员会</w:t>
            </w:r>
            <w:r>
              <w:rPr>
                <w:rFonts w:hint="eastAsia" w:cs="Times New Roman"/>
                <w:color w:val="000000"/>
                <w:kern w:val="0"/>
                <w:sz w:val="24"/>
                <w:szCs w:val="24"/>
                <w:shd w:val="clear" w:color="auto" w:fill="auto"/>
                <w:lang w:val="en-US" w:eastAsia="zh-CN" w:bidi="ar-SA"/>
              </w:rPr>
              <w:t>已对项目进行备案。</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default" w:ascii="Times New Roman" w:hAnsi="Times New Roman" w:eastAsia="宋体" w:cs="Times New Roman"/>
                <w:color w:val="000000"/>
                <w:kern w:val="0"/>
                <w:sz w:val="24"/>
                <w:szCs w:val="24"/>
                <w:shd w:val="clear" w:color="auto" w:fill="auto"/>
                <w:lang w:val="en-US" w:eastAsia="zh-CN" w:bidi="ar-SA"/>
              </w:rPr>
            </w:pPr>
            <w:r>
              <w:rPr>
                <w:rFonts w:hint="eastAsia" w:cs="Times New Roman"/>
                <w:color w:val="000000"/>
                <w:kern w:val="0"/>
                <w:sz w:val="24"/>
                <w:szCs w:val="24"/>
                <w:shd w:val="clear" w:color="auto" w:fill="auto"/>
                <w:lang w:val="en-US" w:eastAsia="zh-CN" w:bidi="ar-SA"/>
              </w:rPr>
              <w:t>故本项目建设符合《关于加强高能耗、高排放建设项目生态环境源头防控的指导意见》（环环评[2021]45号）要求</w:t>
            </w:r>
            <w:r>
              <w:rPr>
                <w:rFonts w:hint="default" w:ascii="Times New Roman" w:hAnsi="Times New Roman" w:eastAsia="宋体" w:cs="Times New Roman"/>
                <w:color w:val="000000"/>
                <w:kern w:val="0"/>
                <w:sz w:val="24"/>
                <w:szCs w:val="24"/>
                <w:shd w:val="clear" w:color="auto" w:fill="auto"/>
                <w:lang w:val="en-US" w:eastAsia="zh-CN" w:bidi="ar-SA"/>
              </w:rPr>
              <w:t>。</w:t>
            </w:r>
          </w:p>
          <w:p>
            <w:pPr>
              <w:ind w:firstLine="480"/>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6</w:t>
            </w:r>
            <w:r>
              <w:rPr>
                <w:rFonts w:hint="eastAsia" w:eastAsia="宋体" w:cs="Times New Roman"/>
                <w:color w:val="000000" w:themeColor="text1"/>
                <w:sz w:val="24"/>
                <w:lang w:val="en-US" w:eastAsia="zh-CN"/>
                <w14:textFill>
                  <w14:solidFill>
                    <w14:schemeClr w14:val="tx1"/>
                  </w14:solidFill>
                </w14:textFill>
              </w:rPr>
              <w:t>、</w:t>
            </w:r>
            <w:r>
              <w:rPr>
                <w:rFonts w:hint="eastAsia" w:ascii="Times New Roman" w:hAnsi="Times New Roman" w:eastAsia="宋体" w:cs="Times New Roman"/>
                <w:color w:val="000000" w:themeColor="text1"/>
                <w:sz w:val="24"/>
                <w:lang w:val="en-US" w:eastAsia="zh-CN"/>
                <w14:textFill>
                  <w14:solidFill>
                    <w14:schemeClr w14:val="tx1"/>
                  </w14:solidFill>
                </w14:textFill>
              </w:rPr>
              <w:t>与《江西省重点行业挥发性有机物综合治理方案》（赣环大气[2019]20号）相符性分析</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1-</w:t>
            </w:r>
            <w:r>
              <w:rPr>
                <w:rFonts w:hint="eastAsia" w:cs="Times New Roman"/>
                <w:b/>
                <w:bCs/>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b/>
                <w:bCs/>
                <w:color w:val="000000" w:themeColor="text1"/>
                <w:sz w:val="21"/>
                <w:szCs w:val="21"/>
                <w14:textFill>
                  <w14:solidFill>
                    <w14:schemeClr w14:val="tx1"/>
                  </w14:solidFill>
                </w14:textFill>
              </w:rPr>
              <w:t xml:space="preserve">  项目与江西省重点行业挥发性有机物综合治理方案符合性</w:t>
            </w:r>
          </w:p>
          <w:tbl>
            <w:tblPr>
              <w:tblStyle w:val="20"/>
              <w:tblW w:w="4991"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871"/>
              <w:gridCol w:w="4552"/>
              <w:gridCol w:w="1427"/>
              <w:gridCol w:w="93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55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w:t>
                  </w:r>
                </w:p>
              </w:tc>
              <w:tc>
                <w:tcPr>
                  <w:tcW w:w="2923"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具体要求</w:t>
                  </w:r>
                </w:p>
              </w:tc>
              <w:tc>
                <w:tcPr>
                  <w:tcW w:w="91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项目情况</w:t>
                  </w:r>
                </w:p>
              </w:tc>
              <w:tc>
                <w:tcPr>
                  <w:tcW w:w="600"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符合性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559" w:type="pct"/>
                  <w:vMerge w:val="restar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三、重点治理行业与任务</w:t>
                  </w:r>
                </w:p>
              </w:tc>
              <w:tc>
                <w:tcPr>
                  <w:tcW w:w="2923"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大力推进源头控制。有机化工行业要推广使用低（无）</w:t>
                  </w:r>
                  <w:r>
                    <w:rPr>
                      <w:rFonts w:hint="eastAsia" w:cs="Times New Roman"/>
                      <w:b w:val="0"/>
                      <w:bCs w:val="0"/>
                      <w:color w:val="000000" w:themeColor="text1"/>
                      <w:sz w:val="21"/>
                      <w:szCs w:val="21"/>
                      <w:lang w:val="en-US" w:eastAsia="zh-CN"/>
                      <w14:textFill>
                        <w14:solidFill>
                          <w14:schemeClr w14:val="tx1"/>
                        </w14:solidFill>
                      </w14:textFill>
                    </w:rPr>
                    <w:t>VOCs含量、低反应活性的原辅材料，加快对芳香烃、含卤素有机化合物的绿色替代；..........金属家具制造业应大力推广使用粉末涂料。</w:t>
                  </w:r>
                </w:p>
              </w:tc>
              <w:tc>
                <w:tcPr>
                  <w:tcW w:w="1357"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本项目</w:t>
                  </w:r>
                  <w:r>
                    <w:rPr>
                      <w:rFonts w:hint="eastAsia" w:cs="Times New Roman"/>
                      <w:b w:val="0"/>
                      <w:bCs w:val="0"/>
                      <w:color w:val="000000" w:themeColor="text1"/>
                      <w:sz w:val="21"/>
                      <w:szCs w:val="21"/>
                      <w:lang w:val="en-US" w:eastAsia="zh-CN"/>
                      <w14:textFill>
                        <w14:solidFill>
                          <w14:schemeClr w14:val="tx1"/>
                        </w14:solidFill>
                      </w14:textFill>
                    </w:rPr>
                    <w:t>VOCs产生量较少，经UV光解+两级活性炭吸附装置处理后可达标排放</w:t>
                  </w:r>
                </w:p>
              </w:tc>
              <w:tc>
                <w:tcPr>
                  <w:tcW w:w="600"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559"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s="Times New Roman"/>
                      <w:b w:val="0"/>
                      <w:bCs w:val="0"/>
                      <w:color w:val="000000" w:themeColor="text1"/>
                      <w:sz w:val="21"/>
                      <w:szCs w:val="21"/>
                      <w:lang w:eastAsia="zh-CN"/>
                      <w14:textFill>
                        <w14:solidFill>
                          <w14:schemeClr w14:val="tx1"/>
                        </w14:solidFill>
                      </w14:textFill>
                    </w:rPr>
                  </w:pPr>
                </w:p>
              </w:tc>
              <w:tc>
                <w:tcPr>
                  <w:tcW w:w="2923"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全面加强无组织排放控制。重点对含</w:t>
                  </w:r>
                  <w:r>
                    <w:rPr>
                      <w:rFonts w:hint="eastAsia" w:cs="Times New Roman"/>
                      <w:b w:val="0"/>
                      <w:bCs w:val="0"/>
                      <w:color w:val="000000" w:themeColor="text1"/>
                      <w:sz w:val="21"/>
                      <w:szCs w:val="21"/>
                      <w:lang w:val="en-US" w:eastAsia="zh-CN"/>
                      <w14:textFill>
                        <w14:solidFill>
                          <w14:schemeClr w14:val="tx1"/>
                        </w14:solidFill>
                      </w14:textFill>
                    </w:rPr>
                    <w:t>VOCs物料（包括含VOCs原辅材料、含VOCs产品、含VOCs废料以及有机聚合物材料等）储存、转移和输送、设备与管线组件泄露、敞开液面逸散以及工艺过程等五类排放源实施管控，通过采取设备与场所密闭、工艺改进、废气有效收集等措施，削减VOCs无组织排放</w:t>
                  </w:r>
                </w:p>
              </w:tc>
              <w:tc>
                <w:tcPr>
                  <w:tcW w:w="1357"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项目VOCs经UV光解+两级活性炭吸附装置处理后可达标排放，集气罩收集效率不低于90%，能减少VOCs无组排放</w:t>
                  </w:r>
                </w:p>
              </w:tc>
              <w:tc>
                <w:tcPr>
                  <w:tcW w:w="600"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559"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cs="Times New Roman"/>
                      <w:b w:val="0"/>
                      <w:bCs w:val="0"/>
                      <w:color w:val="000000" w:themeColor="text1"/>
                      <w:sz w:val="21"/>
                      <w:szCs w:val="21"/>
                      <w:lang w:eastAsia="zh-CN"/>
                      <w14:textFill>
                        <w14:solidFill>
                          <w14:schemeClr w14:val="tx1"/>
                        </w14:solidFill>
                      </w14:textFill>
                    </w:rPr>
                  </w:pPr>
                </w:p>
              </w:tc>
              <w:tc>
                <w:tcPr>
                  <w:tcW w:w="2923"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推进建设适宜高效的治污设施。推进企业新建治污设施或现有治污设施改造，对生产过程中通过排气筒所排放的有组织</w:t>
                  </w:r>
                  <w:r>
                    <w:rPr>
                      <w:rFonts w:hint="eastAsia" w:cs="Times New Roman"/>
                      <w:b w:val="0"/>
                      <w:bCs w:val="0"/>
                      <w:color w:val="000000" w:themeColor="text1"/>
                      <w:sz w:val="21"/>
                      <w:szCs w:val="21"/>
                      <w:lang w:val="en-US" w:eastAsia="zh-CN"/>
                      <w14:textFill>
                        <w14:solidFill>
                          <w14:schemeClr w14:val="tx1"/>
                        </w14:solidFill>
                      </w14:textFill>
                    </w:rPr>
                    <w:t>VOCs废气，应根据生产废气的产生量、污染物的组分和性质、温度、压力等因素进行综合分析后选择适宜的工艺线路进行治理。</w:t>
                  </w:r>
                </w:p>
              </w:tc>
              <w:tc>
                <w:tcPr>
                  <w:tcW w:w="1357"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本项目</w:t>
                  </w:r>
                  <w:r>
                    <w:rPr>
                      <w:rFonts w:hint="eastAsia" w:cs="Times New Roman"/>
                      <w:b w:val="0"/>
                      <w:bCs w:val="0"/>
                      <w:color w:val="000000" w:themeColor="text1"/>
                      <w:sz w:val="21"/>
                      <w:szCs w:val="21"/>
                      <w:lang w:val="en-US" w:eastAsia="zh-CN"/>
                      <w14:textFill>
                        <w14:solidFill>
                          <w14:schemeClr w14:val="tx1"/>
                        </w14:solidFill>
                      </w14:textFill>
                    </w:rPr>
                    <w:t>VOCs产生量较少，经UV光解+两级活性炭吸附装置处理后可达标排放</w:t>
                  </w:r>
                </w:p>
              </w:tc>
              <w:tc>
                <w:tcPr>
                  <w:tcW w:w="600"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符合</w:t>
                  </w:r>
                </w:p>
              </w:tc>
            </w:tr>
          </w:tbl>
          <w:p>
            <w:pPr>
              <w:ind w:firstLine="480"/>
              <w:rPr>
                <w:rFonts w:hint="default"/>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由上表可知，项目的建设总体符合</w:t>
            </w:r>
            <w:r>
              <w:rPr>
                <w:rFonts w:hint="eastAsia" w:cs="Times New Roman"/>
                <w:color w:val="000000" w:themeColor="text1"/>
                <w:kern w:val="0"/>
                <w:lang w:val="en-US" w:eastAsia="zh-CN"/>
                <w14:textFill>
                  <w14:solidFill>
                    <w14:schemeClr w14:val="tx1"/>
                  </w14:solidFill>
                </w14:textFill>
              </w:rPr>
              <w:t>《江西省重点行业挥发性有机物综合治理方案》（赣环大气[2019]20号）</w:t>
            </w:r>
            <w:r>
              <w:rPr>
                <w:rFonts w:hint="default" w:ascii="Times New Roman" w:hAnsi="Times New Roman" w:eastAsia="宋体" w:cs="Times New Roman"/>
                <w:color w:val="000000" w:themeColor="text1"/>
                <w:lang w:val="en-US" w:eastAsia="zh-CN"/>
                <w14:textFill>
                  <w14:solidFill>
                    <w14:schemeClr w14:val="tx1"/>
                  </w14:solidFill>
                </w14:textFill>
              </w:rPr>
              <w:t>的要求</w:t>
            </w:r>
            <w:r>
              <w:rPr>
                <w:rFonts w:hint="eastAsia"/>
                <w:b w:val="0"/>
                <w:bCs w:val="0"/>
                <w:color w:val="000000" w:themeColor="text1"/>
                <w:sz w:val="24"/>
                <w:szCs w:val="24"/>
                <w:lang w:val="en-US" w:eastAsia="zh-CN"/>
                <w14:textFill>
                  <w14:solidFill>
                    <w14:schemeClr w14:val="tx1"/>
                  </w14:solidFill>
                </w14:textFill>
              </w:rPr>
              <w:t>。</w:t>
            </w:r>
          </w:p>
          <w:p>
            <w:pPr>
              <w:ind w:firstLine="48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7、</w:t>
            </w:r>
            <w:r>
              <w:rPr>
                <w:rFonts w:hint="default" w:ascii="Times New Roman" w:hAnsi="Times New Roman" w:eastAsia="宋体" w:cs="Times New Roman"/>
                <w:color w:val="000000" w:themeColor="text1"/>
                <w:sz w:val="24"/>
                <w:lang w:val="en-US" w:eastAsia="zh-CN"/>
                <w14:textFill>
                  <w14:solidFill>
                    <w14:schemeClr w14:val="tx1"/>
                  </w14:solidFill>
                </w14:textFill>
              </w:rPr>
              <w:t>与《重点行业挥发性有机物综合治理方案》（环大气[2019]53号）相符性分析</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1-</w:t>
            </w:r>
            <w:r>
              <w:rPr>
                <w:rFonts w:hint="eastAsia" w:cs="Times New Roman"/>
                <w:b/>
                <w:bCs/>
                <w:color w:val="000000" w:themeColor="text1"/>
                <w:sz w:val="21"/>
                <w:szCs w:val="21"/>
                <w:lang w:val="en-US" w:eastAsia="zh-CN"/>
                <w14:textFill>
                  <w14:solidFill>
                    <w14:schemeClr w14:val="tx1"/>
                  </w14:solidFill>
                </w14:textFill>
              </w:rPr>
              <w:t>3</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 xml:space="preserve"> 项目与重点行业挥发性有机物综合治理方案符合</w:t>
            </w:r>
            <w:r>
              <w:rPr>
                <w:rFonts w:hint="default" w:ascii="Times New Roman" w:hAnsi="Times New Roman" w:eastAsia="宋体" w:cs="Times New Roman"/>
                <w:b/>
                <w:bCs/>
                <w:color w:val="000000" w:themeColor="text1"/>
                <w:sz w:val="21"/>
                <w:szCs w:val="21"/>
                <w14:textFill>
                  <w14:solidFill>
                    <w14:schemeClr w14:val="tx1"/>
                  </w14:solidFill>
                </w14:textFill>
              </w:rPr>
              <w:t>性</w:t>
            </w:r>
          </w:p>
          <w:tbl>
            <w:tblPr>
              <w:tblStyle w:val="20"/>
              <w:tblW w:w="493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469"/>
              <w:gridCol w:w="952"/>
              <w:gridCol w:w="4008"/>
              <w:gridCol w:w="1586"/>
              <w:gridCol w:w="687"/>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922" w:type="pct"/>
                  <w:gridSpan w:val="2"/>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w:t>
                  </w:r>
                </w:p>
              </w:tc>
              <w:tc>
                <w:tcPr>
                  <w:tcW w:w="260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具体要求</w:t>
                  </w:r>
                </w:p>
              </w:tc>
              <w:tc>
                <w:tcPr>
                  <w:tcW w:w="102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项目情况</w:t>
                  </w:r>
                </w:p>
              </w:tc>
              <w:tc>
                <w:tcPr>
                  <w:tcW w:w="44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符合性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304" w:type="pct"/>
                  <w:vMerge w:val="restar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三、控制思路与要求</w:t>
                  </w:r>
                </w:p>
              </w:tc>
              <w:tc>
                <w:tcPr>
                  <w:tcW w:w="617"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大力推进源头控制</w:t>
                  </w:r>
                </w:p>
              </w:tc>
              <w:tc>
                <w:tcPr>
                  <w:tcW w:w="260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通过使用水性、粉末、高固体分、无溶剂、辐射固化等低VOCs含量的涂料，水性、辐射固化、植物基等低VOCs含量的油墨，水基、热熔、无溶剂、辐射固化、改性、生物降解等低VOCs含量的胶粘剂，以及低VOCs含量、低反应活性的清洗剂等，替代溶剂型涂料</w:t>
                  </w:r>
                  <w:r>
                    <w:rPr>
                      <w:rFonts w:hint="eastAsia" w:cs="Times New Roman"/>
                      <w:b w:val="0"/>
                      <w:bCs w:val="0"/>
                      <w:color w:val="000000" w:themeColor="text1"/>
                      <w:sz w:val="21"/>
                      <w:szCs w:val="21"/>
                      <w:lang w:val="en-US" w:eastAsia="zh-CN"/>
                      <w14:textFill>
                        <w14:solidFill>
                          <w14:schemeClr w14:val="tx1"/>
                        </w14:solidFill>
                      </w14:textFill>
                    </w:rPr>
                    <w:t>、油墨、胶粘剂、清洗剂等，从源头减少VOCs产生。</w:t>
                  </w:r>
                </w:p>
              </w:tc>
              <w:tc>
                <w:tcPr>
                  <w:tcW w:w="102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本项目</w:t>
                  </w:r>
                  <w:r>
                    <w:rPr>
                      <w:rFonts w:hint="eastAsia" w:cs="Times New Roman"/>
                      <w:b w:val="0"/>
                      <w:bCs w:val="0"/>
                      <w:color w:val="000000" w:themeColor="text1"/>
                      <w:sz w:val="21"/>
                      <w:szCs w:val="21"/>
                      <w:lang w:val="en-US" w:eastAsia="zh-CN"/>
                      <w14:textFill>
                        <w14:solidFill>
                          <w14:schemeClr w14:val="tx1"/>
                        </w14:solidFill>
                      </w14:textFill>
                    </w:rPr>
                    <w:t>VOCs产生量较少，经UV光解+两级活性炭吸附装置处理后可达标排放</w:t>
                  </w:r>
                </w:p>
              </w:tc>
              <w:tc>
                <w:tcPr>
                  <w:tcW w:w="44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304"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p>
              </w:tc>
              <w:tc>
                <w:tcPr>
                  <w:tcW w:w="617"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全面加强无组织排放控制</w:t>
                  </w:r>
                </w:p>
              </w:tc>
              <w:tc>
                <w:tcPr>
                  <w:tcW w:w="260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重点对含</w:t>
                  </w:r>
                  <w:r>
                    <w:rPr>
                      <w:rFonts w:hint="eastAsia" w:cs="Times New Roman"/>
                      <w:b w:val="0"/>
                      <w:bCs w:val="0"/>
                      <w:color w:val="000000" w:themeColor="text1"/>
                      <w:sz w:val="21"/>
                      <w:szCs w:val="21"/>
                      <w:lang w:val="en-US" w:eastAsia="zh-CN"/>
                      <w14:textFill>
                        <w14:solidFill>
                          <w14:schemeClr w14:val="tx1"/>
                        </w14:solidFill>
                      </w14:textFill>
                    </w:rPr>
                    <w:t>VOCs物料（包括含VOCs原辅材料、含VOCs产品、含VOCs废料以及有机聚合物材料等）储存、转移和输送、设备与管线组件泄露、敞开液面逸散以及工艺过程等五类排放源实施管控，通过采取设备与场所密闭、工艺改进、废气有效收集等措施，削减VOCs无组织排放</w:t>
                  </w:r>
                </w:p>
              </w:tc>
              <w:tc>
                <w:tcPr>
                  <w:tcW w:w="102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项目VOCs经UV光解+两级活性炭吸附装置处理后可达标排放，集气罩收集效率不低于90%，能减少VOCs无组排放</w:t>
                  </w:r>
                </w:p>
              </w:tc>
              <w:tc>
                <w:tcPr>
                  <w:tcW w:w="44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符合</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304" w:type="pct"/>
                  <w:vMerge w:val="continue"/>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p>
              </w:tc>
              <w:tc>
                <w:tcPr>
                  <w:tcW w:w="617"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推进建设适宜高效的治污设施</w:t>
                  </w:r>
                </w:p>
              </w:tc>
              <w:tc>
                <w:tcPr>
                  <w:tcW w:w="2601"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eastAsia="zh-CN"/>
                      <w14:textFill>
                        <w14:solidFill>
                          <w14:schemeClr w14:val="tx1"/>
                        </w14:solidFill>
                      </w14:textFill>
                    </w:rPr>
                    <w:t>企业新建治污设施或对现有治污设施实施改造，应依据排放废气的浓度、组分、风量、温度、湿度、压力，以及生产工况等，合理选择治理技术。鼓励企业采用多种技术的组合工艺，提高</w:t>
                  </w:r>
                  <w:r>
                    <w:rPr>
                      <w:rFonts w:hint="eastAsia" w:cs="Times New Roman"/>
                      <w:b w:val="0"/>
                      <w:bCs w:val="0"/>
                      <w:color w:val="000000" w:themeColor="text1"/>
                      <w:sz w:val="21"/>
                      <w:szCs w:val="21"/>
                      <w:lang w:val="en-US" w:eastAsia="zh-CN"/>
                      <w14:textFill>
                        <w14:solidFill>
                          <w14:schemeClr w14:val="tx1"/>
                        </w14:solidFill>
                      </w14:textFill>
                    </w:rPr>
                    <w:t>VOCs治理效率。</w:t>
                  </w:r>
                </w:p>
              </w:tc>
              <w:tc>
                <w:tcPr>
                  <w:tcW w:w="102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项目VOCs经UV光解+两级活性炭吸附装置处理后可达标排放</w:t>
                  </w:r>
                </w:p>
              </w:tc>
              <w:tc>
                <w:tcPr>
                  <w:tcW w:w="44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符合</w:t>
                  </w:r>
                </w:p>
              </w:tc>
            </w:tr>
          </w:tbl>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default"/>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由上表可知，项目的建设总体符合《重点行业挥发性有机物综合治理方案》（环大气[2019]53号）的要求</w:t>
            </w:r>
            <w:r>
              <w:rPr>
                <w:rFonts w:hint="eastAsia"/>
                <w:b w:val="0"/>
                <w:bCs w:val="0"/>
                <w:color w:val="000000" w:themeColor="text1"/>
                <w:sz w:val="24"/>
                <w:szCs w:val="24"/>
                <w:lang w:val="en-US" w:eastAsia="zh-CN"/>
                <w14:textFill>
                  <w14:solidFill>
                    <w14:schemeClr w14:val="tx1"/>
                  </w14:solidFill>
                </w14:textFill>
              </w:rPr>
              <w:t>。</w:t>
            </w:r>
          </w:p>
          <w:p>
            <w:pPr>
              <w:ind w:firstLine="480"/>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、与《挥发性有机物（VOCs）污染防治技术政策》（环保部2013年31号公告）相符性</w:t>
            </w:r>
          </w:p>
          <w:p>
            <w:pPr>
              <w:pStyle w:val="66"/>
              <w:spacing w:line="240" w:lineRule="auto"/>
              <w:ind w:firstLine="0" w:firstLineChars="0"/>
              <w:rPr>
                <w:rFonts w:ascii="Times New Roman" w:hAnsi="Times New Roman" w:eastAsia="黑体"/>
                <w:b w:val="0"/>
                <w:bCs/>
                <w:color w:val="000000" w:themeColor="text1"/>
                <w14:textFill>
                  <w14:solidFill>
                    <w14:schemeClr w14:val="tx1"/>
                  </w14:solidFill>
                </w14:textFill>
              </w:rPr>
            </w:pPr>
            <w:r>
              <w:rPr>
                <w:rFonts w:ascii="Times New Roman" w:hAnsi="Times New Roman" w:eastAsia="黑体"/>
                <w:color w:val="000000" w:themeColor="text1"/>
                <w:sz w:val="21"/>
                <w:szCs w:val="21"/>
                <w14:textFill>
                  <w14:solidFill>
                    <w14:schemeClr w14:val="tx1"/>
                  </w14:solidFill>
                </w14:textFill>
              </w:rPr>
              <w:t>表1-</w:t>
            </w:r>
            <w:r>
              <w:rPr>
                <w:rFonts w:hint="eastAsia" w:ascii="Times New Roman" w:hAnsi="Times New Roman" w:eastAsia="黑体"/>
                <w:color w:val="000000" w:themeColor="text1"/>
                <w:sz w:val="21"/>
                <w:szCs w:val="21"/>
                <w:lang w:val="en-US" w:eastAsia="zh-CN"/>
                <w14:textFill>
                  <w14:solidFill>
                    <w14:schemeClr w14:val="tx1"/>
                  </w14:solidFill>
                </w14:textFill>
              </w:rPr>
              <w:t>4</w:t>
            </w:r>
            <w:r>
              <w:rPr>
                <w:rFonts w:ascii="Times New Roman" w:hAnsi="Times New Roman" w:eastAsia="黑体"/>
                <w:color w:val="000000" w:themeColor="text1"/>
                <w:sz w:val="21"/>
                <w:szCs w:val="21"/>
                <w14:textFill>
                  <w14:solidFill>
                    <w14:schemeClr w14:val="tx1"/>
                  </w14:solidFill>
                </w14:textFill>
              </w:rPr>
              <w:t xml:space="preserve">  项目与挥发性有机物（VOCs）污染防治技术政策符合性</w:t>
            </w:r>
          </w:p>
          <w:tbl>
            <w:tblPr>
              <w:tblStyle w:val="20"/>
              <w:tblW w:w="4978" w:type="pct"/>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668"/>
              <w:gridCol w:w="5130"/>
              <w:gridCol w:w="1215"/>
              <w:gridCol w:w="752"/>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430" w:type="pct"/>
                  <w:noWrap w:val="0"/>
                  <w:vAlign w:val="center"/>
                </w:tcPr>
                <w:p>
                  <w:pPr>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项目</w:t>
                  </w:r>
                </w:p>
              </w:tc>
              <w:tc>
                <w:tcPr>
                  <w:tcW w:w="3302" w:type="pct"/>
                  <w:noWrap w:val="0"/>
                  <w:vAlign w:val="center"/>
                </w:tcPr>
                <w:p>
                  <w:pPr>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具体要求</w:t>
                  </w:r>
                </w:p>
              </w:tc>
              <w:tc>
                <w:tcPr>
                  <w:tcW w:w="782" w:type="pct"/>
                  <w:noWrap w:val="0"/>
                  <w:vAlign w:val="center"/>
                </w:tcPr>
                <w:p>
                  <w:pPr>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项目情况</w:t>
                  </w:r>
                </w:p>
              </w:tc>
              <w:tc>
                <w:tcPr>
                  <w:tcW w:w="484" w:type="pct"/>
                  <w:noWrap w:val="0"/>
                  <w:vAlign w:val="center"/>
                </w:tcPr>
                <w:p>
                  <w:pPr>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符合性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PrEx>
              <w:trPr>
                <w:jc w:val="center"/>
              </w:trPr>
              <w:tc>
                <w:tcPr>
                  <w:tcW w:w="430" w:type="pct"/>
                  <w:noWrap w:val="0"/>
                  <w:vAlign w:val="center"/>
                </w:tcPr>
                <w:p>
                  <w:pPr>
                    <w:spacing w:line="240" w:lineRule="auto"/>
                    <w:ind w:firstLine="0" w:firstLineChars="0"/>
                    <w:jc w:val="center"/>
                    <w:rPr>
                      <w:rFonts w:hint="eastAsia" w:eastAsia="宋体"/>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三、末端治理与综合利用</w:t>
                  </w:r>
                </w:p>
              </w:tc>
              <w:tc>
                <w:tcPr>
                  <w:tcW w:w="3302" w:type="pct"/>
                  <w:noWrap w:val="0"/>
                  <w:vAlign w:val="center"/>
                </w:tcPr>
                <w:p>
                  <w:pPr>
                    <w:spacing w:line="240" w:lineRule="auto"/>
                    <w:ind w:firstLine="0" w:firstLineChars="0"/>
                    <w:jc w:val="center"/>
                    <w:rPr>
                      <w:rFonts w:hint="eastAsia" w:eastAsia="宋体"/>
                      <w:bCs/>
                      <w:color w:val="000000" w:themeColor="text1"/>
                      <w:sz w:val="21"/>
                      <w:szCs w:val="21"/>
                      <w:lang w:eastAsia="zh-CN"/>
                      <w14:textFill>
                        <w14:solidFill>
                          <w14:schemeClr w14:val="tx1"/>
                        </w14:solidFill>
                      </w14:textFill>
                    </w:rPr>
                  </w:pPr>
                  <w:r>
                    <w:rPr>
                      <w:bCs/>
                      <w:color w:val="000000" w:themeColor="text1"/>
                      <w:sz w:val="21"/>
                      <w:szCs w:val="21"/>
                      <w14:textFill>
                        <w14:solidFill>
                          <w14:schemeClr w14:val="tx1"/>
                        </w14:solidFill>
                      </w14:textFill>
                    </w:rPr>
                    <w:t>（十</w:t>
                  </w:r>
                  <w:r>
                    <w:rPr>
                      <w:rFonts w:hint="eastAsia"/>
                      <w:bCs/>
                      <w:color w:val="000000" w:themeColor="text1"/>
                      <w:sz w:val="21"/>
                      <w:szCs w:val="21"/>
                      <w:lang w:eastAsia="zh-CN"/>
                      <w14:textFill>
                        <w14:solidFill>
                          <w14:schemeClr w14:val="tx1"/>
                        </w14:solidFill>
                      </w14:textFill>
                    </w:rPr>
                    <w:t>二</w:t>
                  </w:r>
                  <w:r>
                    <w:rPr>
                      <w:bCs/>
                      <w:color w:val="000000" w:themeColor="text1"/>
                      <w:sz w:val="21"/>
                      <w:szCs w:val="21"/>
                      <w14:textFill>
                        <w14:solidFill>
                          <w14:schemeClr w14:val="tx1"/>
                        </w14:solidFill>
                      </w14:textFill>
                    </w:rPr>
                    <w:t>）</w:t>
                  </w:r>
                  <w:r>
                    <w:rPr>
                      <w:rFonts w:hint="eastAsia"/>
                      <w:bCs/>
                      <w:color w:val="000000" w:themeColor="text1"/>
                      <w:sz w:val="21"/>
                      <w:szCs w:val="21"/>
                      <w14:textFill>
                        <w14:solidFill>
                          <w14:schemeClr w14:val="tx1"/>
                        </w14:solidFill>
                      </w14:textFill>
                    </w:rPr>
                    <w:t>在工业生产过程中鼓励VOCs的回收利用，并优先鼓励在生产系统内回用</w:t>
                  </w:r>
                  <w:r>
                    <w:rPr>
                      <w:rFonts w:hint="eastAsia"/>
                      <w:bCs/>
                      <w:color w:val="000000" w:themeColor="text1"/>
                      <w:sz w:val="21"/>
                      <w:szCs w:val="21"/>
                      <w:lang w:eastAsia="zh-CN"/>
                      <w14:textFill>
                        <w14:solidFill>
                          <w14:schemeClr w14:val="tx1"/>
                        </w14:solidFill>
                      </w14:textFill>
                    </w:rPr>
                    <w:t>。</w:t>
                  </w:r>
                </w:p>
                <w:p>
                  <w:pPr>
                    <w:spacing w:line="240" w:lineRule="auto"/>
                    <w:ind w:firstLine="0" w:firstLineChars="0"/>
                    <w:jc w:val="center"/>
                    <w:rPr>
                      <w:rFonts w:hint="eastAsia"/>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（十三）对于含高浓度VOCs的废气，宜优先采用冷凝回收、吸附回收技术进行回收利用，并辅助以其他治理技术实现达标排放。</w:t>
                  </w:r>
                </w:p>
                <w:p>
                  <w:pPr>
                    <w:spacing w:line="240" w:lineRule="auto"/>
                    <w:ind w:firstLine="0" w:firstLineChars="0"/>
                    <w:jc w:val="center"/>
                    <w:rPr>
                      <w:rFonts w:hint="eastAsia"/>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（十四）对于含中等浓度VOCs的废气，可采用吸附技术回收有机溶剂，或采用催化燃烧和热力焚烧技术净化后达标排放。当采用催化燃烧和热力烧技术进行净化时，应进行余热回收利用。</w:t>
                  </w:r>
                </w:p>
                <w:p>
                  <w:pPr>
                    <w:spacing w:line="240" w:lineRule="auto"/>
                    <w:ind w:firstLine="0" w:firstLineChars="0"/>
                    <w:jc w:val="center"/>
                    <w:rPr>
                      <w:rFonts w:hint="eastAsia"/>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十五）对于含低浓度VOCs的废气，有回收价值时可采用吸附技术、吸收技术对有机溶剂回收后达标排放；不宜回收时，可采用吸附浓缩燃烧技术、生物技术、吸收技术、等离子体技术或紫外光高级氧化技术等净化后达标排放。</w:t>
                  </w:r>
                </w:p>
                <w:p>
                  <w:pPr>
                    <w:spacing w:line="240" w:lineRule="auto"/>
                    <w:ind w:firstLine="0" w:firstLineChars="0"/>
                    <w:jc w:val="center"/>
                    <w:rPr>
                      <w:rFonts w:hint="eastAsia"/>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（十六）含有有机卤素成分VOCs的废气，宜采用非焚烧技术处理。</w:t>
                  </w:r>
                </w:p>
                <w:p>
                  <w:pPr>
                    <w:spacing w:line="240" w:lineRule="auto"/>
                    <w:ind w:firstLine="0" w:firstLineChars="0"/>
                    <w:jc w:val="center"/>
                    <w:rPr>
                      <w:rFonts w:hint="eastAsia"/>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十七）恶臭气体污染源可采用生物技术、等离子体技术、吸附技术、吸收技术、紫外光高级氧化技术或组合技术等进行净化。净化后的恶臭气体除满足达标排放的要求外，还应采取高空排放等措施，避免产生扰民问题。</w:t>
                  </w:r>
                </w:p>
                <w:p>
                  <w:pPr>
                    <w:spacing w:line="240" w:lineRule="auto"/>
                    <w:ind w:firstLine="0" w:firstLineChars="0"/>
                    <w:jc w:val="center"/>
                    <w:rPr>
                      <w:rFonts w:hint="eastAsia"/>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（十八）在餐饮服务业推广使用具有油雾回收功能的油烟抽排装置，并根据规模、场地和气候条件等采用高效油烟与VOCs净化装置净化后达标排放。</w:t>
                  </w:r>
                </w:p>
                <w:p>
                  <w:pPr>
                    <w:spacing w:line="240" w:lineRule="auto"/>
                    <w:ind w:firstLine="0" w:firstLineChars="0"/>
                    <w:jc w:val="center"/>
                    <w:rPr>
                      <w:rFonts w:hint="eastAsia"/>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（十九）严格控制VOCs处理过程中产生的二次污染，对于催化燃烧和热力焚烧过程中产生的含硫、氮、氯等无机废气，以及吸附、吸收、冷凝、生物</w:t>
                  </w:r>
                </w:p>
                <w:p>
                  <w:pPr>
                    <w:spacing w:line="240" w:lineRule="auto"/>
                    <w:ind w:firstLine="0" w:firstLineChars="0"/>
                    <w:jc w:val="center"/>
                    <w:rPr>
                      <w:rFonts w:hint="eastAsia"/>
                      <w:bCs/>
                      <w:color w:val="000000" w:themeColor="text1"/>
                      <w:sz w:val="21"/>
                      <w:szCs w:val="21"/>
                      <w:lang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等治理过程中所产生的含有机物废水，应处理后达标排放。</w:t>
                  </w:r>
                </w:p>
                <w:p>
                  <w:pPr>
                    <w:spacing w:line="240" w:lineRule="auto"/>
                    <w:ind w:firstLine="0" w:firstLineChars="0"/>
                    <w:jc w:val="center"/>
                    <w:rPr>
                      <w:rFonts w:hint="default"/>
                      <w:bCs/>
                      <w:color w:val="000000" w:themeColor="text1"/>
                      <w:sz w:val="21"/>
                      <w:szCs w:val="21"/>
                      <w:lang w:val="en-US"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（二十）对于不能再生的过滤材料、吸附剂及催化剂等净化材料，应按照国家固体废物管理的相关规定处理处置</w:t>
                  </w:r>
                </w:p>
              </w:tc>
              <w:tc>
                <w:tcPr>
                  <w:tcW w:w="782" w:type="pct"/>
                  <w:noWrap w:val="0"/>
                  <w:vAlign w:val="center"/>
                </w:tcPr>
                <w:p>
                  <w:pPr>
                    <w:spacing w:line="240" w:lineRule="auto"/>
                    <w:ind w:firstLine="0" w:firstLineChars="0"/>
                    <w:jc w:val="center"/>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eastAsia="zh-CN"/>
                      <w14:textFill>
                        <w14:solidFill>
                          <w14:schemeClr w14:val="tx1"/>
                        </w14:solidFill>
                      </w14:textFill>
                    </w:rPr>
                    <w:t>项目为</w:t>
                  </w:r>
                  <w:r>
                    <w:rPr>
                      <w:rFonts w:hint="eastAsia"/>
                      <w:bCs/>
                      <w:color w:val="000000" w:themeColor="text1"/>
                      <w:sz w:val="21"/>
                      <w:szCs w:val="21"/>
                      <w:lang w:val="en-US" w:eastAsia="zh-CN"/>
                      <w14:textFill>
                        <w14:solidFill>
                          <w14:schemeClr w14:val="tx1"/>
                        </w14:solidFill>
                      </w14:textFill>
                    </w:rPr>
                    <w:t>生物可降解塑料生产，生产过程中产生的VOCs废气浓度较低，采用UV光解+两级活性炭吸附装置处理后达标排放</w:t>
                  </w:r>
                </w:p>
              </w:tc>
              <w:tc>
                <w:tcPr>
                  <w:tcW w:w="484" w:type="pct"/>
                  <w:noWrap w:val="0"/>
                  <w:vAlign w:val="center"/>
                </w:tcPr>
                <w:p>
                  <w:pPr>
                    <w:spacing w:line="240" w:lineRule="auto"/>
                    <w:ind w:firstLine="0" w:firstLineChars="0"/>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符合</w:t>
                  </w:r>
                </w:p>
              </w:tc>
            </w:tr>
          </w:tbl>
          <w:p>
            <w:pPr>
              <w:ind w:firstLine="480"/>
              <w:rPr>
                <w:color w:val="000000" w:themeColor="text1"/>
                <w14:textFill>
                  <w14:solidFill>
                    <w14:schemeClr w14:val="tx1"/>
                  </w14:solidFill>
                </w14:textFill>
              </w:rPr>
            </w:pPr>
            <w:r>
              <w:rPr>
                <w:color w:val="000000" w:themeColor="text1"/>
                <w14:textFill>
                  <w14:solidFill>
                    <w14:schemeClr w14:val="tx1"/>
                  </w14:solidFill>
                </w14:textFill>
              </w:rPr>
              <w:t>由上表可知，项目的建设总体符合《挥发性有机物（VOCs）污染防治技术政策》（环保部2013年31号公告）的要求。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bCs/>
                <w:color w:val="000000" w:themeColor="text1"/>
                <w:sz w:val="24"/>
                <w:lang w:eastAsia="zh-CN"/>
                <w14:textFill>
                  <w14:solidFill>
                    <w14:schemeClr w14:val="tx1"/>
                  </w14:solidFill>
                </w14:textFill>
              </w:rPr>
            </w:pPr>
            <w:r>
              <w:rPr>
                <w:rFonts w:hint="eastAsia" w:ascii="Times New Roman" w:hAnsi="Times New Roman" w:cs="Times New Roman"/>
                <w:bCs/>
                <w:color w:val="000000" w:themeColor="text1"/>
                <w:sz w:val="24"/>
                <w:lang w:val="en-US" w:eastAsia="zh-CN"/>
                <w14:textFill>
                  <w14:solidFill>
                    <w14:schemeClr w14:val="tx1"/>
                  </w14:solidFill>
                </w14:textFill>
              </w:rPr>
              <w:t>9、</w:t>
            </w:r>
            <w:r>
              <w:rPr>
                <w:rFonts w:hint="default" w:ascii="Times New Roman" w:hAnsi="Times New Roman" w:cs="Times New Roman"/>
                <w:bCs/>
                <w:color w:val="000000" w:themeColor="text1"/>
                <w:sz w:val="24"/>
                <w:lang w:eastAsia="zh-CN"/>
                <w14:textFill>
                  <w14:solidFill>
                    <w14:schemeClr w14:val="tx1"/>
                  </w14:solidFill>
                </w14:textFill>
              </w:rPr>
              <w:t>与《江西省生态环境厅关于印发2020年夏秋季挥发性有机物(VOCs)治理攻坚帮扶工作方案的通知》（赣环大气〔2020〕6 号）相符性</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①大力推进源头替代，有效减少VOCs产生</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严格落实国家和地方产品VOCs含量限值标准。大力推进低（无）VOCs含量原辅材料替代。将全面使用符合国家要求的低VOCs含量原辅材料的企业纳入正面清单和政府绿色采购清单。企业应建立原辅材料台账，记录VOCs原辅材料名称、成分、VOCs含量、采购量、使用量、库存量、回收方式、回收量等信息，并保存相关证明材料。采用符合国家有关低VOCs含量产品规定的涂料、油墨、胶粘剂等，排放浓度稳定达标且排放速率满足相关规定的，相应生产工序可不要求建设末端治理设施。使用的原辅材料VOCs含量（质量比）均低于10%的工序，可不要求采取无组织排放收集和处理措施。</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②全面落实标准要求，强化无组织排放控制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2020年7月1日起，全面执行《挥发性有机物无组织排放控制标准》，重点区域应落实无组织排放特别控制要求。企业在无组织排放排查整治过程中，在保证安全的前提下，加强含VOCs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处置环节应将盛装过VOCs物料的包装容器、含VOCs废料（渣、液）、废吸附剂等通过加盖、封装等方式密闭，妥善存放，不得随意丢弃，7月15日前集中清运一次，交有资质的单位处置；处置单位在贮存、清洗、破碎等环节应按要求对VOCs无组织排放废气进行收集、处理。高VOCs含量废水的集输、储存和处理环节，应加盖密闭。企业中载有气态、液态VOCs物料的设备与管线组件密封点大于等于2000个的，应全面梳理建立台账，6-9月完成一轮泄漏检测与修复（LDAR）工作，及时修复泄漏源；石油炼制、石油化工、合成树脂企业严格按照排放标准要求开展LDAR工作，加强备用泵、在用泵、调节阀、搅拌器、开口管线等检测工作，强化质量控制；要将VOCs治理设施和储罐的密封点纳入检测计划中。</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项目使用低（无）VOCs含量原辅材料，运营期企业将建立原辅材料台账，记录VOCs原辅材料名称、成分、VOCs含量、采购量、使用量、库存量、回收方式、回收量等信息，并保存相关证明材料；项目生产和使用环节采用密闭设备，废气进行局部气体收集，废吸附剂等通过加盖、封装等方式密闭，妥善存放，不随意丢弃，交有资质的单位处置，项目建设符合《2020年挥发性有机物治理攻坚方案》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10、与《“十三五”挥发性有机物污染防治工作方案》相符性分析</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cs="Times New Roman"/>
                <w:color w:val="000000" w:themeColor="text1"/>
                <w:sz w:val="24"/>
                <w:lang w:val="en-US" w:eastAsia="zh-CN"/>
                <w14:textFill>
                  <w14:solidFill>
                    <w14:schemeClr w14:val="tx1"/>
                  </w14:solidFill>
                </w14:textFill>
              </w:rPr>
            </w:pPr>
            <w:r>
              <w:rPr>
                <w:rFonts w:hint="eastAsia" w:cs="Times New Roman"/>
                <w:color w:val="000000" w:themeColor="text1"/>
                <w:sz w:val="24"/>
                <w:lang w:val="en-US" w:eastAsia="zh-CN"/>
                <w14:textFill>
                  <w14:solidFill>
                    <w14:schemeClr w14:val="tx1"/>
                  </w14:solidFill>
                </w14:textFill>
              </w:rPr>
              <w:t>根据“十三五”挥发性有机物污染防治工作方案要求，（一）加大产业结构调整力度：加快推进“散乱污”企业综合治理，项目属于新建项目；新建项目涉VOCs排放的工业企业应进入园区，项目选址于上饶市婺源县工业园区内；新、改、扩建涉VOCs排放项目，应从源头控制，项目有VOCs产生的工序使用的设备均为密闭式的，从源头控制；（二）加快实施工业源VOCs污染防治：全面实施石化行业达标排放，项目属于塑料加工行业，各污染物都能达标排放；加强非正常工况排放控制，项目计划制定严格的管理制度，防止非工况排放发生；全面推进化工企业设备动静密封点、储存、装卸、有组织废气等原项整治。项目设置原料仓库，对所有工序产生的VOCs都进行有组织排放，因此项目符合“十三五”挥发性有机物污染防治工作方案的要求.</w:t>
            </w:r>
          </w:p>
          <w:p>
            <w:pPr>
              <w:keepNext w:val="0"/>
              <w:keepLines w:val="0"/>
              <w:pageBreakBefore w:val="0"/>
              <w:widowControl w:val="0"/>
              <w:numPr>
                <w:ilvl w:val="0"/>
                <w:numId w:val="6"/>
              </w:numPr>
              <w:kinsoku/>
              <w:wordWrap/>
              <w:overflowPunct/>
              <w:topLinePunct w:val="0"/>
              <w:autoSpaceDE/>
              <w:autoSpaceDN/>
              <w:bidi w:val="0"/>
              <w:adjustRightInd/>
              <w:snapToGrid/>
              <w:ind w:firstLine="480" w:firstLineChars="200"/>
              <w:textAlignment w:val="auto"/>
              <w:rPr>
                <w:rFonts w:hint="eastAsia" w:cs="Times New Roman"/>
                <w:color w:val="0000FF"/>
                <w:sz w:val="24"/>
                <w:lang w:val="en-US" w:eastAsia="zh-CN"/>
              </w:rPr>
            </w:pPr>
            <w:r>
              <w:rPr>
                <w:rFonts w:hint="eastAsia" w:cs="Times New Roman"/>
                <w:color w:val="0000FF"/>
                <w:sz w:val="24"/>
                <w:lang w:val="en-US" w:eastAsia="zh-CN"/>
              </w:rPr>
              <w:t>与周边相容性分析</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kern w:val="0"/>
                <w:lang w:val="en-US" w:eastAsia="zh-CN"/>
              </w:rPr>
            </w:pPr>
            <w:r>
              <w:rPr>
                <w:rFonts w:hint="eastAsia" w:cs="Times New Roman"/>
                <w:color w:val="0000FF"/>
                <w:sz w:val="24"/>
                <w:lang w:val="en-US" w:eastAsia="zh-CN"/>
              </w:rPr>
              <w:t>项目位于</w:t>
            </w:r>
            <w:r>
              <w:rPr>
                <w:rFonts w:hint="eastAsia" w:cs="Times New Roman"/>
                <w:color w:val="0000FF"/>
                <w:lang w:eastAsia="zh-CN"/>
              </w:rPr>
              <w:t>江西省上饶市婺源县工业园区金庸大道</w:t>
            </w:r>
            <w:r>
              <w:rPr>
                <w:rFonts w:hint="eastAsia" w:cs="Times New Roman"/>
                <w:color w:val="0000FF"/>
                <w:lang w:val="en-US" w:eastAsia="zh-CN"/>
              </w:rPr>
              <w:t>99号（半球家用品实业公司内厂房）</w:t>
            </w:r>
            <w:r>
              <w:rPr>
                <w:rFonts w:hint="eastAsia" w:cs="Times New Roman"/>
                <w:color w:val="0000FF"/>
                <w:sz w:val="24"/>
                <w:lang w:val="en-US" w:eastAsia="zh-CN"/>
              </w:rPr>
              <w:t>。北侧是江西半球家用品实业有限公司生产车间，南侧是江西半球家用品实业有限公司办公楼，西侧是江西佑美制药有限公司，东侧是江西半球家用品实业有限公司闲置厂房；项目的敏感目标为项目西南侧约160m的周家。采取相应的治理措施后，项目排放的污染物源强较低，运营期产生的“三废”及噪声对周边环境影响不明显，因此，项目建设与周边环境基本相容。</w:t>
            </w:r>
          </w:p>
        </w:tc>
      </w:tr>
    </w:tbl>
    <w:p>
      <w:pPr>
        <w:spacing w:line="360" w:lineRule="auto"/>
        <w:ind w:firstLine="600"/>
        <w:rPr>
          <w:rFonts w:hint="default" w:ascii="Times New Roman" w:hAnsi="Times New Roman" w:eastAsia="黑体" w:cs="Times New Roman"/>
          <w:sz w:val="30"/>
        </w:rPr>
        <w:sectPr>
          <w:headerReference r:id="rId15" w:type="default"/>
          <w:footerReference r:id="rId16" w:type="default"/>
          <w:pgSz w:w="11906" w:h="16838"/>
          <w:pgMar w:top="1440" w:right="1080" w:bottom="1440" w:left="1080"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7"/>
        <w:ind w:firstLine="600"/>
        <w:jc w:val="center"/>
        <w:outlineLvl w:val="0"/>
        <w:rPr>
          <w:rFonts w:hint="default" w:ascii="Times New Roman" w:hAnsi="Times New Roman" w:eastAsia="黑体" w:cs="Times New Roman"/>
          <w:snapToGrid w:val="0"/>
          <w:sz w:val="30"/>
          <w:szCs w:val="30"/>
        </w:rPr>
      </w:pPr>
      <w:bookmarkStart w:id="4" w:name="_Toc71538797"/>
      <w:r>
        <w:rPr>
          <w:rFonts w:hint="default" w:ascii="Times New Roman" w:hAnsi="Times New Roman" w:eastAsia="黑体" w:cs="Times New Roman"/>
          <w:snapToGrid w:val="0"/>
          <w:sz w:val="30"/>
          <w:szCs w:val="30"/>
        </w:rPr>
        <w:t>二、建设项目工程分析</w:t>
      </w:r>
      <w:bookmarkEnd w:id="4"/>
    </w:p>
    <w:tbl>
      <w:tblPr>
        <w:tblStyle w:val="20"/>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95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228" w:type="pct"/>
            <w:vAlign w:val="center"/>
          </w:tcPr>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建</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设</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内</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容</w:t>
            </w:r>
          </w:p>
        </w:tc>
        <w:tc>
          <w:tcPr>
            <w:tcW w:w="4771" w:type="pct"/>
          </w:tcPr>
          <w:p>
            <w:pPr>
              <w:ind w:firstLine="480"/>
              <w:rPr>
                <w:rFonts w:hint="eastAsia"/>
                <w:sz w:val="24"/>
                <w:lang w:val="en-US" w:eastAsia="zh-CN"/>
              </w:rPr>
            </w:pPr>
            <w:r>
              <w:rPr>
                <w:rFonts w:hint="eastAsia" w:cs="Times New Roman"/>
                <w:color w:val="000000" w:themeColor="text1"/>
                <w:lang w:val="en-US" w:eastAsia="zh-CN"/>
                <w14:textFill>
                  <w14:solidFill>
                    <w14:schemeClr w14:val="tx1"/>
                  </w14:solidFill>
                </w14:textFill>
              </w:rPr>
              <w:t>江西龙群环保科技有限公司拟投资2100万元在</w:t>
            </w:r>
            <w:r>
              <w:rPr>
                <w:rFonts w:hint="eastAsia" w:cs="Times New Roman"/>
                <w:color w:val="000000" w:themeColor="text1"/>
                <w:lang w:eastAsia="zh-CN"/>
                <w14:textFill>
                  <w14:solidFill>
                    <w14:schemeClr w14:val="tx1"/>
                  </w14:solidFill>
                </w14:textFill>
              </w:rPr>
              <w:t>江西省上饶市婺源县工业园区金庸大道</w:t>
            </w:r>
            <w:r>
              <w:rPr>
                <w:rFonts w:hint="eastAsia" w:cs="Times New Roman"/>
                <w:color w:val="000000" w:themeColor="text1"/>
                <w:lang w:val="en-US" w:eastAsia="zh-CN"/>
                <w14:textFill>
                  <w14:solidFill>
                    <w14:schemeClr w14:val="tx1"/>
                  </w14:solidFill>
                </w14:textFill>
              </w:rPr>
              <w:t>99号租赁江西半球家用品实业有限公司厂房建设年产2万吨生物可降解塑料制品项目，项目建成后能实现年产生物可降解塑料2万吨的产能</w:t>
            </w:r>
            <w:r>
              <w:rPr>
                <w:rFonts w:hint="eastAsia"/>
                <w:sz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bCs/>
                <w:sz w:val="24"/>
                <w:lang w:bidi="ar"/>
              </w:rPr>
            </w:pPr>
            <w:r>
              <w:rPr>
                <w:rFonts w:hint="default"/>
                <w:bCs/>
                <w:sz w:val="24"/>
                <w:lang w:bidi="ar"/>
              </w:rPr>
              <w:t>根据《中华人民共和国环境影响评价法》的规定，该项目应履行环境影响评价制度，在项目可行性研究阶段，同步开展环境影响评价工作，并应到环保部门办理环保审批手续。依据国务院682号《建设项目环境保护管理条例》、《中华人民共和国环境影响评价法》及其它法律法规的要求，项目需进行环境影响评价。《建设项目环境影响评价分类管理名录》（2021年版）相关规定：项目属于“</w:t>
            </w:r>
            <w:r>
              <w:rPr>
                <w:rFonts w:hint="eastAsia" w:cs="Times New Roman"/>
                <w:color w:val="000000" w:themeColor="text1"/>
                <w:lang w:val="en-US" w:eastAsia="zh-CN"/>
                <w14:textFill>
                  <w14:solidFill>
                    <w14:schemeClr w14:val="tx1"/>
                  </w14:solidFill>
                </w14:textFill>
              </w:rPr>
              <w:t>二十六、橡胶和塑料制品业29—53、塑料制品业292—其他（年用非溶剂型低VOCs含量涂料10吨以下的除外）</w:t>
            </w:r>
            <w:r>
              <w:rPr>
                <w:rFonts w:hint="eastAsia"/>
                <w:bCs/>
                <w:sz w:val="24"/>
                <w:lang w:eastAsia="zh-CN" w:bidi="ar"/>
              </w:rPr>
              <w:t>”</w:t>
            </w:r>
            <w:r>
              <w:rPr>
                <w:rFonts w:hint="default"/>
                <w:bCs/>
                <w:sz w:val="24"/>
                <w:lang w:bidi="ar"/>
              </w:rPr>
              <w:t>；因此该项目需要编制环境影响报告表。建设单位特委托我公司编制该环境影响报告表。评价单位在接受委托后，评价单位工作人员多次前往现场进行实地踏勘、调查、资料收集，并征求了有关部门的意见和建议，按照环评的有关技术规范及导则的要求，编制了该项目的环境影响报告表。</w:t>
            </w:r>
          </w:p>
          <w:p>
            <w:pPr>
              <w:numPr>
                <w:ilvl w:val="0"/>
                <w:numId w:val="7"/>
              </w:num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项目组成</w:t>
            </w:r>
          </w:p>
          <w:p>
            <w:pPr>
              <w:ind w:firstLine="480"/>
              <w:rPr>
                <w:rFonts w:hint="default" w:ascii="Times New Roman" w:hAnsi="Times New Roman" w:cs="Times New Roman"/>
                <w:color w:val="000000" w:themeColor="text1"/>
                <w14:textFill>
                  <w14:solidFill>
                    <w14:schemeClr w14:val="tx1"/>
                  </w14:solidFill>
                </w14:textFill>
              </w:rPr>
            </w:pPr>
            <w:r>
              <w:rPr>
                <w:rFonts w:hint="eastAsia"/>
                <w:sz w:val="24"/>
                <w:lang w:val="en-US" w:eastAsia="zh-CN"/>
              </w:rPr>
              <w:t>项目租用江西半球家用品实业有限公司厂房进行建设，总用地面积2000m</w:t>
            </w:r>
            <w:r>
              <w:rPr>
                <w:rFonts w:hint="eastAsia"/>
                <w:sz w:val="24"/>
                <w:vertAlign w:val="superscript"/>
                <w:lang w:val="en-US" w:eastAsia="zh-CN"/>
              </w:rPr>
              <w:t>2</w:t>
            </w:r>
            <w:r>
              <w:rPr>
                <w:rFonts w:hint="eastAsia"/>
                <w:sz w:val="24"/>
                <w:lang w:val="en-US" w:eastAsia="zh-CN"/>
              </w:rPr>
              <w:t>，总建筑面积2000m</w:t>
            </w:r>
            <w:r>
              <w:rPr>
                <w:rFonts w:hint="eastAsia"/>
                <w:sz w:val="24"/>
                <w:vertAlign w:val="superscript"/>
                <w:lang w:val="en-US" w:eastAsia="zh-CN"/>
              </w:rPr>
              <w:t>2</w:t>
            </w:r>
            <w:r>
              <w:rPr>
                <w:rFonts w:hint="eastAsia"/>
                <w:sz w:val="24"/>
                <w:lang w:val="en-US" w:eastAsia="zh-CN"/>
              </w:rPr>
              <w:t>，主要包括生产车间、仓库及环保工程等，</w:t>
            </w:r>
            <w:r>
              <w:rPr>
                <w:rFonts w:hint="default" w:ascii="Times New Roman" w:hAnsi="Times New Roman" w:cs="Times New Roman"/>
                <w:color w:val="000000" w:themeColor="text1"/>
                <w14:textFill>
                  <w14:solidFill>
                    <w14:schemeClr w14:val="tx1"/>
                  </w14:solidFill>
                </w14:textFill>
              </w:rPr>
              <w:t>项目工程组成一览见表2-</w:t>
            </w:r>
            <w:r>
              <w:rPr>
                <w:rFonts w:hint="eastAsia"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w:t>
            </w:r>
          </w:p>
          <w:p>
            <w:pPr>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表2-</w:t>
            </w:r>
            <w:r>
              <w:rPr>
                <w:rFonts w:hint="eastAsia" w:cs="Times New Roman"/>
                <w:b/>
                <w:bCs/>
                <w:color w:val="000000" w:themeColor="text1"/>
                <w:sz w:val="21"/>
                <w:szCs w:val="21"/>
                <w:lang w:val="en-US" w:eastAsia="zh-CN"/>
                <w14:textFill>
                  <w14:solidFill>
                    <w14:schemeClr w14:val="tx1"/>
                  </w14:solidFill>
                </w14:textFill>
              </w:rPr>
              <w:t>1</w:t>
            </w:r>
            <w:r>
              <w:rPr>
                <w:rFonts w:hint="default" w:ascii="Times New Roman" w:hAnsi="Times New Roman" w:cs="Times New Roman"/>
                <w:b/>
                <w:bCs/>
                <w:color w:val="000000" w:themeColor="text1"/>
                <w:sz w:val="21"/>
                <w:szCs w:val="21"/>
                <w14:textFill>
                  <w14:solidFill>
                    <w14:schemeClr w14:val="tx1"/>
                  </w14:solidFill>
                </w14:textFill>
              </w:rPr>
              <w:t xml:space="preserve">  项目工程组成一览表</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1414"/>
              <w:gridCol w:w="6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79"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0000FF"/>
                      <w:sz w:val="21"/>
                      <w:szCs w:val="21"/>
                    </w:rPr>
                  </w:pPr>
                  <w:r>
                    <w:rPr>
                      <w:rFonts w:hint="default" w:ascii="Times New Roman" w:hAnsi="Times New Roman" w:cs="Times New Roman"/>
                      <w:b/>
                      <w:bCs/>
                      <w:color w:val="0000FF"/>
                      <w:sz w:val="21"/>
                      <w:szCs w:val="21"/>
                    </w:rPr>
                    <w:t>类别</w:t>
                  </w: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0000FF"/>
                      <w:sz w:val="21"/>
                      <w:szCs w:val="21"/>
                    </w:rPr>
                  </w:pPr>
                  <w:r>
                    <w:rPr>
                      <w:rFonts w:hint="default" w:ascii="Times New Roman" w:hAnsi="Times New Roman" w:cs="Times New Roman"/>
                      <w:b/>
                      <w:bCs/>
                      <w:color w:val="0000FF"/>
                      <w:sz w:val="21"/>
                      <w:szCs w:val="21"/>
                    </w:rPr>
                    <w:t>名称</w:t>
                  </w:r>
                </w:p>
              </w:tc>
              <w:tc>
                <w:tcPr>
                  <w:tcW w:w="3657"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b/>
                      <w:bCs/>
                      <w:color w:val="0000FF"/>
                      <w:sz w:val="21"/>
                      <w:szCs w:val="21"/>
                    </w:rPr>
                  </w:pPr>
                  <w:r>
                    <w:rPr>
                      <w:rFonts w:hint="default" w:ascii="Times New Roman" w:hAnsi="Times New Roman" w:cs="Times New Roman"/>
                      <w:b/>
                      <w:bCs/>
                      <w:color w:val="0000FF"/>
                      <w:sz w:val="21"/>
                      <w:szCs w:val="21"/>
                    </w:rPr>
                    <w:t>主要内容及规模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主体工程</w:t>
                  </w: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生产车间</w:t>
                  </w:r>
                </w:p>
              </w:tc>
              <w:tc>
                <w:tcPr>
                  <w:tcW w:w="3657"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default" w:ascii="Times New Roman" w:hAnsi="Times New Roman" w:cs="Times New Roman"/>
                      <w:color w:val="0000FF"/>
                      <w:sz w:val="21"/>
                      <w:szCs w:val="21"/>
                      <w:lang w:val="en-US" w:eastAsia="zh-CN"/>
                    </w:rPr>
                    <w:t>1F，建筑面积</w:t>
                  </w:r>
                  <w:r>
                    <w:rPr>
                      <w:rFonts w:hint="eastAsia" w:cs="Times New Roman"/>
                      <w:color w:val="0000FF"/>
                      <w:sz w:val="21"/>
                      <w:szCs w:val="21"/>
                      <w:lang w:val="en-US" w:eastAsia="zh-CN"/>
                    </w:rPr>
                    <w:t>2000</w:t>
                  </w:r>
                  <w:r>
                    <w:rPr>
                      <w:rFonts w:hint="default" w:ascii="Times New Roman" w:hAnsi="Times New Roman" w:cs="Times New Roman"/>
                      <w:color w:val="0000FF"/>
                      <w:sz w:val="21"/>
                      <w:szCs w:val="21"/>
                      <w:lang w:val="en-US" w:eastAsia="zh-CN"/>
                    </w:rPr>
                    <w:t>m</w:t>
                  </w:r>
                  <w:r>
                    <w:rPr>
                      <w:rFonts w:hint="default" w:ascii="Times New Roman" w:hAnsi="Times New Roman" w:cs="Times New Roman"/>
                      <w:color w:val="0000FF"/>
                      <w:sz w:val="21"/>
                      <w:szCs w:val="21"/>
                      <w:vertAlign w:val="superscript"/>
                      <w:lang w:val="en-US" w:eastAsia="zh-CN"/>
                    </w:rPr>
                    <w:t>2</w:t>
                  </w:r>
                  <w:r>
                    <w:rPr>
                      <w:rFonts w:hint="default" w:ascii="Times New Roman" w:hAnsi="Times New Roman" w:cs="Times New Roman"/>
                      <w:color w:val="0000FF"/>
                      <w:sz w:val="21"/>
                      <w:szCs w:val="21"/>
                      <w:lang w:val="en-US" w:eastAsia="zh-CN"/>
                    </w:rPr>
                    <w:t>，</w:t>
                  </w:r>
                  <w:r>
                    <w:rPr>
                      <w:rFonts w:hint="eastAsia" w:cs="Times New Roman"/>
                      <w:color w:val="0000FF"/>
                      <w:sz w:val="21"/>
                      <w:szCs w:val="21"/>
                      <w:lang w:val="en-US" w:eastAsia="zh-CN"/>
                    </w:rPr>
                    <w:t>车间内由南向北依次划分成原料区、成品区、生产区等，共建设生物可降解塑料生产线2条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9"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FF"/>
                      <w:sz w:val="21"/>
                      <w:szCs w:val="21"/>
                      <w:lang w:eastAsia="zh-CN"/>
                    </w:rPr>
                  </w:pPr>
                  <w:r>
                    <w:rPr>
                      <w:rFonts w:hint="default" w:ascii="Times New Roman" w:hAnsi="Times New Roman" w:cs="Times New Roman"/>
                      <w:color w:val="0000FF"/>
                      <w:sz w:val="21"/>
                      <w:szCs w:val="21"/>
                      <w:lang w:eastAsia="zh-CN"/>
                    </w:rPr>
                    <w:t>辅助工程</w:t>
                  </w: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FF"/>
                      <w:sz w:val="21"/>
                      <w:szCs w:val="21"/>
                      <w:lang w:eastAsia="zh-CN"/>
                    </w:rPr>
                  </w:pPr>
                  <w:r>
                    <w:rPr>
                      <w:rFonts w:hint="default" w:ascii="Times New Roman" w:hAnsi="Times New Roman" w:cs="Times New Roman"/>
                      <w:color w:val="0000FF"/>
                      <w:sz w:val="21"/>
                      <w:szCs w:val="21"/>
                      <w:lang w:eastAsia="zh-CN"/>
                    </w:rPr>
                    <w:t>办公楼</w:t>
                  </w:r>
                </w:p>
              </w:tc>
              <w:tc>
                <w:tcPr>
                  <w:tcW w:w="3657"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eastAsia="zh-CN"/>
                    </w:rPr>
                    <w:t>位于生产车间内东北部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79" w:type="pct"/>
                  <w:vMerge w:val="restar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公用</w:t>
                  </w:r>
                </w:p>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工程</w:t>
                  </w: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供水</w:t>
                  </w:r>
                </w:p>
              </w:tc>
              <w:tc>
                <w:tcPr>
                  <w:tcW w:w="3657"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自来水厂供水，能满足本项目用水需求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79"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排水</w:t>
                  </w:r>
                </w:p>
              </w:tc>
              <w:tc>
                <w:tcPr>
                  <w:tcW w:w="6786" w:type="dxa"/>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eastAsia" w:ascii="Times New Roman" w:hAnsi="Times New Roman" w:cs="Times New Roman"/>
                      <w:color w:val="0000FF"/>
                      <w:sz w:val="21"/>
                      <w:szCs w:val="21"/>
                      <w:lang w:eastAsia="zh-CN"/>
                    </w:rPr>
                    <w:t>雨污分流，</w:t>
                  </w:r>
                  <w:r>
                    <w:rPr>
                      <w:rFonts w:hint="default" w:ascii="Times New Roman" w:hAnsi="Times New Roman" w:cs="Times New Roman"/>
                      <w:color w:val="0000FF"/>
                      <w:sz w:val="21"/>
                      <w:szCs w:val="21"/>
                    </w:rPr>
                    <w:t>生活污水</w:t>
                  </w:r>
                  <w:r>
                    <w:rPr>
                      <w:rFonts w:hint="default" w:ascii="Times New Roman" w:hAnsi="Times New Roman" w:cs="Times New Roman"/>
                      <w:color w:val="0000FF"/>
                      <w:sz w:val="21"/>
                      <w:szCs w:val="21"/>
                      <w:lang w:eastAsia="zh-CN"/>
                    </w:rPr>
                    <w:t>经</w:t>
                  </w:r>
                  <w:r>
                    <w:rPr>
                      <w:rFonts w:hint="eastAsia" w:cs="Times New Roman"/>
                      <w:color w:val="0000FF"/>
                      <w:sz w:val="21"/>
                      <w:szCs w:val="21"/>
                      <w:lang w:eastAsia="zh-CN"/>
                    </w:rPr>
                    <w:t>化粪池处理达到婺源县城西（工业园区）污水处理厂接管标准后排入婺源县城西（工业园区）污水处理厂处理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79"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供电</w:t>
                  </w:r>
                </w:p>
              </w:tc>
              <w:tc>
                <w:tcPr>
                  <w:tcW w:w="6786" w:type="dxa"/>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电力局供电网统一供应，能满足本项目用电需求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79" w:type="pct"/>
                  <w:vMerge w:val="restar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环保</w:t>
                  </w:r>
                </w:p>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工程</w:t>
                  </w: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废水治理</w:t>
                  </w:r>
                </w:p>
              </w:tc>
              <w:tc>
                <w:tcPr>
                  <w:tcW w:w="6786" w:type="dxa"/>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default" w:ascii="Times New Roman" w:hAnsi="Times New Roman" w:cs="Times New Roman"/>
                      <w:color w:val="0000FF"/>
                      <w:sz w:val="21"/>
                      <w:szCs w:val="21"/>
                    </w:rPr>
                    <w:t>生活污水</w:t>
                  </w:r>
                  <w:r>
                    <w:rPr>
                      <w:rFonts w:hint="default" w:ascii="Times New Roman" w:hAnsi="Times New Roman" w:cs="Times New Roman"/>
                      <w:color w:val="0000FF"/>
                      <w:sz w:val="21"/>
                      <w:szCs w:val="21"/>
                      <w:lang w:eastAsia="zh-CN"/>
                    </w:rPr>
                    <w:t>经</w:t>
                  </w:r>
                  <w:r>
                    <w:rPr>
                      <w:rFonts w:hint="eastAsia" w:cs="Times New Roman"/>
                      <w:color w:val="0000FF"/>
                      <w:sz w:val="21"/>
                      <w:szCs w:val="21"/>
                      <w:lang w:eastAsia="zh-CN"/>
                    </w:rPr>
                    <w:t>化粪池处理</w:t>
                  </w:r>
                  <w:r>
                    <w:rPr>
                      <w:rFonts w:hint="default" w:ascii="Times New Roman" w:hAnsi="Times New Roman" w:cs="Times New Roman"/>
                      <w:color w:val="0000FF"/>
                      <w:sz w:val="21"/>
                      <w:szCs w:val="21"/>
                    </w:rPr>
                    <w:t>，达到</w:t>
                  </w:r>
                  <w:r>
                    <w:rPr>
                      <w:rFonts w:hint="eastAsia" w:cs="Times New Roman"/>
                      <w:color w:val="0000FF"/>
                      <w:sz w:val="21"/>
                      <w:szCs w:val="21"/>
                      <w:lang w:eastAsia="zh-CN"/>
                    </w:rPr>
                    <w:t>婺源县城西（工业园区）污水处理厂纳管标准（</w:t>
                  </w:r>
                  <w:r>
                    <w:rPr>
                      <w:rFonts w:hint="default" w:ascii="Times New Roman" w:hAnsi="Times New Roman" w:cs="Times New Roman"/>
                      <w:color w:val="0000FF"/>
                      <w:sz w:val="21"/>
                      <w:szCs w:val="21"/>
                    </w:rPr>
                    <w:t>《污水综合排放标准》（GB8978-1996）</w:t>
                  </w:r>
                  <w:r>
                    <w:rPr>
                      <w:rFonts w:hint="eastAsia" w:cs="Times New Roman"/>
                      <w:color w:val="0000FF"/>
                      <w:sz w:val="21"/>
                      <w:szCs w:val="21"/>
                      <w:lang w:eastAsia="zh-CN"/>
                    </w:rPr>
                    <w:t>三</w:t>
                  </w:r>
                  <w:r>
                    <w:rPr>
                      <w:rFonts w:hint="eastAsia" w:ascii="Times New Roman" w:hAnsi="Times New Roman" w:cs="Times New Roman"/>
                      <w:color w:val="0000FF"/>
                      <w:sz w:val="21"/>
                      <w:szCs w:val="21"/>
                      <w:lang w:eastAsia="zh-CN"/>
                    </w:rPr>
                    <w:t>级标准</w:t>
                  </w:r>
                  <w:r>
                    <w:rPr>
                      <w:rFonts w:hint="eastAsia" w:cs="Times New Roman"/>
                      <w:color w:val="0000FF"/>
                      <w:sz w:val="21"/>
                      <w:szCs w:val="21"/>
                      <w:lang w:eastAsia="zh-CN"/>
                    </w:rPr>
                    <w:t>）</w:t>
                  </w:r>
                  <w:r>
                    <w:rPr>
                      <w:rFonts w:hint="eastAsia" w:ascii="Times New Roman" w:hAnsi="Times New Roman" w:cs="Times New Roman"/>
                      <w:color w:val="0000FF"/>
                      <w:sz w:val="21"/>
                      <w:szCs w:val="21"/>
                      <w:lang w:eastAsia="zh-CN"/>
                    </w:rPr>
                    <w:t>后接入</w:t>
                  </w:r>
                  <w:r>
                    <w:rPr>
                      <w:rFonts w:hint="eastAsia" w:cs="Times New Roman"/>
                      <w:color w:val="0000FF"/>
                      <w:sz w:val="21"/>
                      <w:szCs w:val="21"/>
                      <w:lang w:eastAsia="zh-CN"/>
                    </w:rPr>
                    <w:t>园区污水管网排入污水处理厂处理，污水处理厂处理达《城镇污水处理厂污染物排放标准》（</w:t>
                  </w:r>
                  <w:r>
                    <w:rPr>
                      <w:rFonts w:hint="eastAsia" w:cs="Times New Roman"/>
                      <w:color w:val="0000FF"/>
                      <w:sz w:val="21"/>
                      <w:szCs w:val="21"/>
                      <w:lang w:val="en-US" w:eastAsia="zh-CN"/>
                    </w:rPr>
                    <w:t>GB18918-2002</w:t>
                  </w:r>
                  <w:r>
                    <w:rPr>
                      <w:rFonts w:hint="eastAsia" w:cs="Times New Roman"/>
                      <w:color w:val="0000FF"/>
                      <w:sz w:val="21"/>
                      <w:szCs w:val="21"/>
                      <w:lang w:eastAsia="zh-CN"/>
                    </w:rPr>
                    <w:t>）一级</w:t>
                  </w:r>
                  <w:r>
                    <w:rPr>
                      <w:rFonts w:hint="eastAsia" w:cs="Times New Roman"/>
                      <w:color w:val="0000FF"/>
                      <w:sz w:val="21"/>
                      <w:szCs w:val="21"/>
                      <w:lang w:val="en-US" w:eastAsia="zh-CN"/>
                    </w:rPr>
                    <w:t>A标准后排入高砂河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79"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废气治理</w:t>
                  </w:r>
                </w:p>
              </w:tc>
              <w:tc>
                <w:tcPr>
                  <w:tcW w:w="6786" w:type="dxa"/>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熔融造粒废气收集后经UV光解+两级活性炭吸附装置处理后与经布袋除尘器处理后的投料、混料废气通过同一根15m高排气筒DA001排放</w:t>
                  </w:r>
                  <w:r>
                    <w:rPr>
                      <w:rFonts w:hint="default" w:ascii="Times New Roman" w:hAnsi="Times New Roman" w:cs="Times New Roman"/>
                      <w:color w:val="0000FF"/>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79"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固废处置</w:t>
                  </w:r>
                </w:p>
              </w:tc>
              <w:tc>
                <w:tcPr>
                  <w:tcW w:w="6786" w:type="dxa"/>
                  <w:tcBorders>
                    <w:tl2br w:val="nil"/>
                    <w:tr2bl w:val="nil"/>
                  </w:tcBorders>
                  <w:vAlign w:val="center"/>
                </w:tcPr>
                <w:p>
                  <w:pPr>
                    <w:adjustRightInd w:val="0"/>
                    <w:snapToGrid w:val="0"/>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default" w:ascii="Times New Roman" w:hAnsi="Times New Roman" w:cs="Times New Roman"/>
                      <w:color w:val="0000FF"/>
                      <w:sz w:val="21"/>
                      <w:szCs w:val="21"/>
                    </w:rPr>
                    <w:t>生活垃圾收集后交由环卫部门处理；建设</w:t>
                  </w:r>
                  <w:r>
                    <w:rPr>
                      <w:rFonts w:hint="eastAsia" w:cs="Times New Roman"/>
                      <w:color w:val="0000FF"/>
                      <w:sz w:val="21"/>
                      <w:szCs w:val="21"/>
                      <w:lang w:val="en-US" w:eastAsia="zh-CN"/>
                    </w:rPr>
                    <w:t>1</w:t>
                  </w:r>
                  <w:r>
                    <w:rPr>
                      <w:rFonts w:hint="default" w:ascii="Times New Roman" w:hAnsi="Times New Roman" w:cs="Times New Roman"/>
                      <w:color w:val="0000FF"/>
                      <w:sz w:val="21"/>
                      <w:szCs w:val="21"/>
                    </w:rPr>
                    <w:t>个</w:t>
                  </w:r>
                  <w:r>
                    <w:rPr>
                      <w:rFonts w:hint="eastAsia" w:cs="Times New Roman"/>
                      <w:color w:val="0000FF"/>
                      <w:sz w:val="21"/>
                      <w:szCs w:val="21"/>
                      <w:lang w:val="en-US" w:eastAsia="zh-CN"/>
                    </w:rPr>
                    <w:t>5</w:t>
                  </w:r>
                  <w:r>
                    <w:rPr>
                      <w:rFonts w:hint="default" w:ascii="Times New Roman" w:hAnsi="Times New Roman" w:cs="Times New Roman"/>
                      <w:color w:val="0000FF"/>
                      <w:sz w:val="21"/>
                      <w:szCs w:val="21"/>
                    </w:rPr>
                    <w:t>m</w:t>
                  </w:r>
                  <w:r>
                    <w:rPr>
                      <w:rFonts w:hint="default" w:ascii="Times New Roman" w:hAnsi="Times New Roman" w:cs="Times New Roman"/>
                      <w:color w:val="0000FF"/>
                      <w:sz w:val="21"/>
                      <w:szCs w:val="21"/>
                      <w:vertAlign w:val="superscript"/>
                    </w:rPr>
                    <w:t>2</w:t>
                  </w:r>
                  <w:r>
                    <w:rPr>
                      <w:rFonts w:hint="default" w:ascii="Times New Roman" w:hAnsi="Times New Roman" w:cs="Times New Roman"/>
                      <w:color w:val="0000FF"/>
                      <w:sz w:val="21"/>
                      <w:szCs w:val="21"/>
                    </w:rPr>
                    <w:t>一般固废暂存间</w:t>
                  </w:r>
                  <w:r>
                    <w:rPr>
                      <w:rFonts w:hint="eastAsia" w:ascii="Times New Roman" w:hAnsi="Times New Roman" w:cs="Times New Roman"/>
                      <w:color w:val="0000FF"/>
                      <w:sz w:val="21"/>
                      <w:szCs w:val="21"/>
                      <w:lang w:eastAsia="zh-CN"/>
                    </w:rPr>
                    <w:t>，</w:t>
                  </w:r>
                  <w:r>
                    <w:rPr>
                      <w:rFonts w:hint="eastAsia" w:ascii="Times New Roman" w:hAnsi="Times New Roman" w:cs="Times New Roman"/>
                      <w:color w:val="0000FF"/>
                      <w:sz w:val="21"/>
                      <w:szCs w:val="21"/>
                      <w:lang w:val="en-US" w:eastAsia="zh-CN"/>
                    </w:rPr>
                    <w:t>1个</w:t>
                  </w:r>
                  <w:r>
                    <w:rPr>
                      <w:rFonts w:hint="eastAsia" w:cs="Times New Roman"/>
                      <w:color w:val="0000FF"/>
                      <w:sz w:val="21"/>
                      <w:szCs w:val="21"/>
                      <w:lang w:val="en-US" w:eastAsia="zh-CN"/>
                    </w:rPr>
                    <w:t>2</w:t>
                  </w:r>
                  <w:r>
                    <w:rPr>
                      <w:rFonts w:hint="eastAsia" w:ascii="Times New Roman" w:hAnsi="Times New Roman" w:cs="Times New Roman"/>
                      <w:color w:val="0000FF"/>
                      <w:sz w:val="21"/>
                      <w:szCs w:val="21"/>
                      <w:lang w:val="en-US" w:eastAsia="zh-CN"/>
                    </w:rPr>
                    <w:t>m</w:t>
                  </w:r>
                  <w:r>
                    <w:rPr>
                      <w:rFonts w:hint="eastAsia" w:ascii="Times New Roman" w:hAnsi="Times New Roman" w:cs="Times New Roman"/>
                      <w:color w:val="0000FF"/>
                      <w:sz w:val="21"/>
                      <w:szCs w:val="21"/>
                      <w:vertAlign w:val="superscript"/>
                      <w:lang w:val="en-US" w:eastAsia="zh-CN"/>
                    </w:rPr>
                    <w:t>2</w:t>
                  </w:r>
                  <w:r>
                    <w:rPr>
                      <w:rFonts w:hint="eastAsia" w:ascii="Times New Roman" w:hAnsi="Times New Roman" w:cs="Times New Roman"/>
                      <w:color w:val="0000FF"/>
                      <w:sz w:val="21"/>
                      <w:szCs w:val="21"/>
                      <w:lang w:val="en-US" w:eastAsia="zh-CN"/>
                    </w:rPr>
                    <w:t>危险废物暂存间</w:t>
                  </w:r>
                  <w:r>
                    <w:rPr>
                      <w:rFonts w:hint="eastAsia" w:cs="Times New Roman"/>
                      <w:color w:val="0000FF"/>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579" w:type="pct"/>
                  <w:vMerge w:val="continue"/>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p>
              </w:tc>
              <w:tc>
                <w:tcPr>
                  <w:tcW w:w="762" w:type="pct"/>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噪声防治</w:t>
                  </w:r>
                </w:p>
              </w:tc>
              <w:tc>
                <w:tcPr>
                  <w:tcW w:w="6786" w:type="dxa"/>
                  <w:tcBorders>
                    <w:tl2br w:val="nil"/>
                    <w:tr2bl w:val="nil"/>
                  </w:tcBorders>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各生产和辅助、环保设施设置隔声、消声、减振等综合降噪措施。</w:t>
                  </w:r>
                </w:p>
              </w:tc>
            </w:tr>
          </w:tbl>
          <w:p>
            <w:pPr>
              <w:numPr>
                <w:ilvl w:val="0"/>
                <w:numId w:val="7"/>
              </w:numPr>
              <w:ind w:firstLine="480"/>
              <w:rPr>
                <w:rFonts w:hint="default" w:ascii="Times New Roman" w:hAnsi="Times New Roman" w:cs="Times New Roman"/>
              </w:rPr>
            </w:pPr>
            <w:r>
              <w:rPr>
                <w:rFonts w:hint="default" w:ascii="Times New Roman" w:hAnsi="Times New Roman" w:cs="Times New Roman"/>
              </w:rPr>
              <w:t>主要产品及产能</w:t>
            </w:r>
          </w:p>
          <w:p>
            <w:pPr>
              <w:ind w:firstLine="480"/>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eastAsia="zh-CN"/>
                <w14:textFill>
                  <w14:solidFill>
                    <w14:schemeClr w14:val="tx1"/>
                  </w14:solidFill>
                </w14:textFill>
              </w:rPr>
              <w:t>本</w:t>
            </w:r>
            <w:r>
              <w:rPr>
                <w:rFonts w:hint="default" w:ascii="Times New Roman" w:hAnsi="Times New Roman" w:cs="Times New Roman"/>
                <w:color w:val="000000" w:themeColor="text1"/>
                <w:lang w:eastAsia="zh-CN"/>
                <w14:textFill>
                  <w14:solidFill>
                    <w14:schemeClr w14:val="tx1"/>
                  </w14:solidFill>
                </w14:textFill>
              </w:rPr>
              <w:t>项目产品及产能如表</w:t>
            </w:r>
            <w:r>
              <w:rPr>
                <w:rFonts w:hint="default" w:ascii="Times New Roman" w:hAnsi="Times New Roman" w:cs="Times New Roman"/>
                <w:color w:val="000000" w:themeColor="text1"/>
                <w:lang w:val="en-US" w:eastAsia="zh-CN"/>
                <w14:textFill>
                  <w14:solidFill>
                    <w14:schemeClr w14:val="tx1"/>
                  </w14:solidFill>
                </w14:textFill>
              </w:rPr>
              <w:t>2-2</w:t>
            </w:r>
            <w:r>
              <w:rPr>
                <w:rFonts w:hint="default" w:ascii="Times New Roman" w:hAnsi="Times New Roman" w:cs="Times New Roman"/>
                <w:color w:val="000000" w:themeColor="text1"/>
                <w14:textFill>
                  <w14:solidFill>
                    <w14:schemeClr w14:val="tx1"/>
                  </w14:solidFill>
                </w14:textFill>
              </w:rPr>
              <w:t>。</w:t>
            </w:r>
          </w:p>
          <w:p>
            <w:pPr>
              <w:pStyle w:val="4"/>
              <w:spacing w:before="0" w:after="0" w:line="240" w:lineRule="auto"/>
              <w:ind w:firstLine="0" w:firstLineChars="0"/>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表2-</w:t>
            </w:r>
            <w:r>
              <w:rPr>
                <w:rFonts w:hint="default" w:ascii="Times New Roman" w:hAnsi="Times New Roman" w:cs="Times New Roman"/>
                <w:color w:val="000000" w:themeColor="text1"/>
                <w:sz w:val="21"/>
                <w:szCs w:val="21"/>
                <w:lang w:val="en-US" w:eastAsia="zh-CN"/>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 xml:space="preserve">  产品及产量一览表</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65"/>
              <w:gridCol w:w="1804"/>
              <w:gridCol w:w="1604"/>
              <w:gridCol w:w="4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74" w:type="pct"/>
                  <w:noWrap w:val="0"/>
                  <w:vAlign w:val="center"/>
                </w:tcPr>
                <w:p>
                  <w:pPr>
                    <w:adjustRightInd w:val="0"/>
                    <w:snapToGrid w:val="0"/>
                    <w:spacing w:line="240" w:lineRule="auto"/>
                    <w:ind w:firstLine="0" w:firstLineChars="0"/>
                    <w:jc w:val="center"/>
                    <w:rPr>
                      <w:rFonts w:hint="default" w:ascii="Times New Roman" w:hAnsi="Times New Roman" w:cs="Times New Roman"/>
                      <w:b/>
                      <w:bCs/>
                      <w:color w:val="0000FF"/>
                      <w:sz w:val="21"/>
                      <w:szCs w:val="21"/>
                    </w:rPr>
                  </w:pPr>
                  <w:r>
                    <w:rPr>
                      <w:rFonts w:hint="default" w:ascii="Times New Roman" w:hAnsi="Times New Roman" w:cs="Times New Roman"/>
                      <w:b/>
                      <w:bCs/>
                      <w:color w:val="0000FF"/>
                      <w:sz w:val="21"/>
                      <w:szCs w:val="21"/>
                    </w:rPr>
                    <w:t>序号</w:t>
                  </w:r>
                </w:p>
              </w:tc>
              <w:tc>
                <w:tcPr>
                  <w:tcW w:w="972" w:type="pct"/>
                  <w:noWrap w:val="0"/>
                  <w:vAlign w:val="center"/>
                </w:tcPr>
                <w:p>
                  <w:pPr>
                    <w:adjustRightInd w:val="0"/>
                    <w:snapToGrid w:val="0"/>
                    <w:spacing w:line="240" w:lineRule="auto"/>
                    <w:ind w:firstLine="0" w:firstLineChars="0"/>
                    <w:jc w:val="center"/>
                    <w:rPr>
                      <w:rFonts w:hint="default" w:ascii="Times New Roman" w:hAnsi="Times New Roman" w:cs="Times New Roman"/>
                      <w:b/>
                      <w:bCs/>
                      <w:color w:val="0000FF"/>
                      <w:sz w:val="21"/>
                      <w:szCs w:val="21"/>
                    </w:rPr>
                  </w:pPr>
                  <w:r>
                    <w:rPr>
                      <w:rFonts w:hint="default" w:ascii="Times New Roman" w:hAnsi="Times New Roman" w:cs="Times New Roman"/>
                      <w:b/>
                      <w:bCs/>
                      <w:color w:val="0000FF"/>
                      <w:sz w:val="21"/>
                      <w:szCs w:val="21"/>
                    </w:rPr>
                    <w:t>产品名称</w:t>
                  </w:r>
                </w:p>
              </w:tc>
              <w:tc>
                <w:tcPr>
                  <w:tcW w:w="864"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b/>
                      <w:bCs/>
                      <w:color w:val="0000FF"/>
                      <w:sz w:val="21"/>
                      <w:szCs w:val="21"/>
                      <w:lang w:eastAsia="zh-CN"/>
                    </w:rPr>
                  </w:pPr>
                  <w:r>
                    <w:rPr>
                      <w:rFonts w:hint="default" w:ascii="Times New Roman" w:hAnsi="Times New Roman" w:cs="Times New Roman"/>
                      <w:b/>
                      <w:bCs/>
                      <w:color w:val="0000FF"/>
                      <w:sz w:val="21"/>
                      <w:szCs w:val="21"/>
                      <w:lang w:eastAsia="zh-CN"/>
                    </w:rPr>
                    <w:t>产量</w:t>
                  </w:r>
                </w:p>
              </w:tc>
              <w:tc>
                <w:tcPr>
                  <w:tcW w:w="2587" w:type="pct"/>
                  <w:noWrap w:val="0"/>
                  <w:vAlign w:val="center"/>
                </w:tcPr>
                <w:p>
                  <w:pPr>
                    <w:adjustRightInd w:val="0"/>
                    <w:snapToGrid w:val="0"/>
                    <w:spacing w:line="240" w:lineRule="auto"/>
                    <w:ind w:firstLine="0" w:firstLineChars="0"/>
                    <w:jc w:val="center"/>
                    <w:rPr>
                      <w:rFonts w:hint="default" w:ascii="Times New Roman" w:hAnsi="Times New Roman" w:cs="Times New Roman"/>
                      <w:b/>
                      <w:bCs/>
                      <w:color w:val="0000FF"/>
                      <w:sz w:val="21"/>
                      <w:szCs w:val="21"/>
                      <w:lang w:eastAsia="zh-CN"/>
                    </w:rPr>
                  </w:pPr>
                  <w:r>
                    <w:rPr>
                      <w:rFonts w:hint="eastAsia" w:cs="Times New Roman"/>
                      <w:b/>
                      <w:bCs/>
                      <w:color w:val="0000FF"/>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574" w:type="pct"/>
                  <w:noWrap w:val="0"/>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default" w:ascii="Times New Roman" w:hAnsi="Times New Roman" w:cs="Times New Roman"/>
                      <w:color w:val="0000FF"/>
                      <w:sz w:val="21"/>
                      <w:szCs w:val="21"/>
                    </w:rPr>
                    <w:t>1</w:t>
                  </w:r>
                </w:p>
              </w:tc>
              <w:tc>
                <w:tcPr>
                  <w:tcW w:w="972" w:type="pct"/>
                  <w:noWrap w:val="0"/>
                  <w:vAlign w:val="center"/>
                </w:tcPr>
                <w:p>
                  <w:pPr>
                    <w:adjustRightInd w:val="0"/>
                    <w:snapToGrid w:val="0"/>
                    <w:spacing w:line="240" w:lineRule="auto"/>
                    <w:ind w:firstLine="0" w:firstLineChars="0"/>
                    <w:jc w:val="center"/>
                    <w:rPr>
                      <w:rFonts w:hint="default" w:ascii="Times New Roman" w:hAnsi="Times New Roman" w:cs="Times New Roman"/>
                      <w:color w:val="0000FF"/>
                      <w:sz w:val="21"/>
                      <w:szCs w:val="21"/>
                    </w:rPr>
                  </w:pPr>
                  <w:r>
                    <w:rPr>
                      <w:rFonts w:hint="eastAsia" w:cs="Times New Roman"/>
                      <w:color w:val="0000FF"/>
                      <w:sz w:val="21"/>
                      <w:szCs w:val="21"/>
                      <w:lang w:eastAsia="zh-CN"/>
                    </w:rPr>
                    <w:t>生物可降解塑料</w:t>
                  </w:r>
                  <w:r>
                    <w:rPr>
                      <w:rFonts w:hint="default" w:ascii="Times New Roman" w:hAnsi="Times New Roman" w:cs="Times New Roman"/>
                      <w:color w:val="0000FF"/>
                      <w:sz w:val="21"/>
                      <w:szCs w:val="21"/>
                    </w:rPr>
                    <w:t xml:space="preserve">     </w:t>
                  </w:r>
                </w:p>
              </w:tc>
              <w:tc>
                <w:tcPr>
                  <w:tcW w:w="864" w:type="pct"/>
                  <w:noWrap w:val="0"/>
                  <w:vAlign w:val="center"/>
                </w:tcPr>
                <w:p>
                  <w:pPr>
                    <w:adjustRightInd w:val="0"/>
                    <w:snapToGrid w:val="0"/>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2万吨/年</w:t>
                  </w:r>
                </w:p>
              </w:tc>
              <w:tc>
                <w:tcPr>
                  <w:tcW w:w="2587" w:type="pct"/>
                  <w:noWrap w:val="0"/>
                  <w:vAlign w:val="center"/>
                </w:tcPr>
                <w:p>
                  <w:pPr>
                    <w:adjustRightInd w:val="0"/>
                    <w:snapToGrid w:val="0"/>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粒径：3.0±1.0，外观：圆柱状颗粒；袋装，25kg/袋</w:t>
                  </w:r>
                </w:p>
              </w:tc>
            </w:tr>
          </w:tbl>
          <w:p>
            <w:pPr>
              <w:ind w:firstLine="480"/>
              <w:rPr>
                <w:rFonts w:hint="eastAsia" w:eastAsia="宋体" w:cs="Times New Roman"/>
                <w:color w:val="0000FF"/>
                <w:lang w:eastAsia="zh-CN"/>
              </w:rPr>
            </w:pPr>
            <w:r>
              <w:rPr>
                <w:rFonts w:hint="eastAsia" w:eastAsia="宋体" w:cs="Times New Roman"/>
                <w:color w:val="0000FF"/>
                <w:lang w:eastAsia="zh-CN"/>
              </w:rPr>
              <w:t>项目各产品质量应符合《降解塑料的定义、分类、标志和降解性能要求》（GB/T20197-2006） 中生物分解塑料降解性能技术要求。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FF"/>
                <w:sz w:val="21"/>
                <w:szCs w:val="21"/>
              </w:rPr>
            </w:pPr>
            <w:r>
              <w:rPr>
                <w:rFonts w:hint="default" w:ascii="Times New Roman" w:hAnsi="Times New Roman" w:eastAsia="宋体" w:cs="Times New Roman"/>
                <w:b/>
                <w:bCs/>
                <w:color w:val="0000FF"/>
                <w:sz w:val="21"/>
                <w:szCs w:val="21"/>
              </w:rPr>
              <w:t>表 2-3 拟建项目产品降解性能技术要求</w:t>
            </w:r>
          </w:p>
          <w:tbl>
            <w:tblPr>
              <w:tblStyle w:val="20"/>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577"/>
              <w:gridCol w:w="1328"/>
              <w:gridCol w:w="4935"/>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850"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产品种类</w:t>
                  </w:r>
                </w:p>
              </w:tc>
              <w:tc>
                <w:tcPr>
                  <w:tcW w:w="716"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组成</w:t>
                  </w:r>
                </w:p>
              </w:tc>
              <w:tc>
                <w:tcPr>
                  <w:tcW w:w="2660"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控制项目</w:t>
                  </w:r>
                </w:p>
              </w:tc>
              <w:tc>
                <w:tcPr>
                  <w:tcW w:w="773"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850" w:type="pct"/>
                  <w:vMerge w:val="restar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可降解塑料颗粒</w:t>
                  </w:r>
                </w:p>
              </w:tc>
              <w:tc>
                <w:tcPr>
                  <w:tcW w:w="716" w:type="pct"/>
                  <w:vMerge w:val="restar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混合物</w:t>
                  </w:r>
                </w:p>
              </w:tc>
              <w:tc>
                <w:tcPr>
                  <w:tcW w:w="2660"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有机成分，%</w:t>
                  </w:r>
                </w:p>
              </w:tc>
              <w:tc>
                <w:tcPr>
                  <w:tcW w:w="773"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850"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p>
              </w:tc>
              <w:tc>
                <w:tcPr>
                  <w:tcW w:w="716"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p>
              </w:tc>
              <w:tc>
                <w:tcPr>
                  <w:tcW w:w="2660"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生物降解率，%</w:t>
                  </w:r>
                </w:p>
              </w:tc>
              <w:tc>
                <w:tcPr>
                  <w:tcW w:w="773"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850"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p>
              </w:tc>
              <w:tc>
                <w:tcPr>
                  <w:tcW w:w="716"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p>
              </w:tc>
              <w:tc>
                <w:tcPr>
                  <w:tcW w:w="2660"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材料中组分≥1%的有机成分的生物降解率，%</w:t>
                  </w:r>
                </w:p>
              </w:tc>
              <w:tc>
                <w:tcPr>
                  <w:tcW w:w="773" w:type="pct"/>
                  <w:vAlign w:val="center"/>
                </w:tcPr>
                <w:p>
                  <w:pPr>
                    <w:pStyle w:val="50"/>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default" w:ascii="Times New Roman" w:hAnsi="Times New Roman" w:eastAsia="宋体" w:cs="Times New Roman"/>
                      <w:color w:val="0000FF"/>
                      <w:sz w:val="21"/>
                      <w:szCs w:val="21"/>
                    </w:rPr>
                  </w:pPr>
                  <w:r>
                    <w:rPr>
                      <w:rFonts w:hint="default" w:ascii="Times New Roman" w:hAnsi="Times New Roman" w:eastAsia="宋体" w:cs="Times New Roman"/>
                      <w:color w:val="0000FF"/>
                      <w:sz w:val="21"/>
                      <w:szCs w:val="21"/>
                    </w:rPr>
                    <w:t>≥60</w:t>
                  </w:r>
                </w:p>
              </w:tc>
            </w:tr>
          </w:tbl>
          <w:p>
            <w:pPr>
              <w:numPr>
                <w:ilvl w:val="0"/>
                <w:numId w:val="7"/>
              </w:num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设备清单</w:t>
            </w:r>
          </w:p>
          <w:p>
            <w:pPr>
              <w:ind w:firstLine="480"/>
              <w:rPr>
                <w:rFonts w:hint="default" w:ascii="Times New Roman" w:hAnsi="Times New Roman" w:cs="Times New Roman"/>
                <w:color w:val="000000" w:themeColor="text1"/>
                <w14:textFill>
                  <w14:solidFill>
                    <w14:schemeClr w14:val="tx1"/>
                  </w14:solidFill>
                </w14:textFill>
              </w:rPr>
            </w:pPr>
            <w:r>
              <w:rPr>
                <w:rFonts w:hint="eastAsia"/>
                <w:sz w:val="24"/>
                <w:lang w:val="en-US" w:eastAsia="zh-CN"/>
              </w:rPr>
              <w:t>本项目</w:t>
            </w:r>
            <w:r>
              <w:rPr>
                <w:rFonts w:hint="default" w:ascii="Times New Roman" w:hAnsi="Times New Roman" w:cs="Times New Roman"/>
                <w:color w:val="000000" w:themeColor="text1"/>
                <w14:textFill>
                  <w14:solidFill>
                    <w14:schemeClr w14:val="tx1"/>
                  </w14:solidFill>
                </w14:textFill>
              </w:rPr>
              <w:t>主要生产设备见表2-3。</w:t>
            </w:r>
          </w:p>
          <w:p>
            <w:pPr>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表2-3  主要生产设备一览表</w:t>
            </w:r>
          </w:p>
          <w:tbl>
            <w:tblPr>
              <w:tblStyle w:val="2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558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3008"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名称</w:t>
                  </w:r>
                </w:p>
              </w:tc>
              <w:tc>
                <w:tcPr>
                  <w:tcW w:w="1306"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1</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bidi="he-IL"/>
                    </w:rPr>
                    <w:t>500升混料机</w:t>
                  </w:r>
                </w:p>
              </w:tc>
              <w:tc>
                <w:tcPr>
                  <w:tcW w:w="1306" w:type="pct"/>
                  <w:tcBorders>
                    <w:tl2br w:val="nil"/>
                    <w:tr2bl w:val="nil"/>
                  </w:tcBorders>
                  <w:shd w:val="clear" w:color="000000"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2</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eastAsia="zh-CN" w:bidi="he-IL"/>
                    </w:rPr>
                    <w:t>磁动态塑化挤出机</w:t>
                  </w:r>
                </w:p>
              </w:tc>
              <w:tc>
                <w:tcPr>
                  <w:tcW w:w="1306" w:type="pct"/>
                  <w:tcBorders>
                    <w:tl2br w:val="nil"/>
                    <w:tr2bl w:val="nil"/>
                  </w:tcBorders>
                  <w:shd w:val="clear" w:color="000000"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3</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bidi="he-IL"/>
                    </w:rPr>
                    <w:t>换网器一套</w:t>
                  </w:r>
                </w:p>
              </w:tc>
              <w:tc>
                <w:tcPr>
                  <w:tcW w:w="1306" w:type="pct"/>
                  <w:tcBorders>
                    <w:tl2br w:val="nil"/>
                    <w:tr2bl w:val="nil"/>
                  </w:tcBorders>
                  <w:shd w:val="clear" w:color="000000"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4</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bidi="he-IL"/>
                    </w:rPr>
                    <w:t>30米不锈钢输送带</w:t>
                  </w:r>
                </w:p>
              </w:tc>
              <w:tc>
                <w:tcPr>
                  <w:tcW w:w="1306" w:type="pct"/>
                  <w:tcBorders>
                    <w:tl2br w:val="nil"/>
                    <w:tr2bl w:val="nil"/>
                  </w:tcBorders>
                  <w:shd w:val="clear" w:color="000000"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5</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bidi="he-IL"/>
                    </w:rPr>
                    <w:t>切粒机</w:t>
                  </w:r>
                </w:p>
              </w:tc>
              <w:tc>
                <w:tcPr>
                  <w:tcW w:w="1306" w:type="pct"/>
                  <w:tcBorders>
                    <w:tl2br w:val="nil"/>
                    <w:tr2bl w:val="nil"/>
                  </w:tcBorders>
                  <w:shd w:val="clear" w:color="000000"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6</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bidi="he-IL"/>
                    </w:rPr>
                    <w:t>振动筛</w:t>
                  </w:r>
                </w:p>
              </w:tc>
              <w:tc>
                <w:tcPr>
                  <w:tcW w:w="1306" w:type="pct"/>
                  <w:tcBorders>
                    <w:tl2br w:val="nil"/>
                    <w:tr2bl w:val="nil"/>
                  </w:tcBorders>
                  <w:shd w:val="clear" w:color="000000"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7</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bidi="he-IL"/>
                    </w:rPr>
                    <w:t>成品料仓</w:t>
                  </w:r>
                </w:p>
              </w:tc>
              <w:tc>
                <w:tcPr>
                  <w:tcW w:w="1306"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8</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bidi="he-IL"/>
                    </w:rPr>
                    <w:t>控制系统</w:t>
                  </w:r>
                </w:p>
              </w:tc>
              <w:tc>
                <w:tcPr>
                  <w:tcW w:w="1306"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85" w:type="pct"/>
                  <w:tcBorders>
                    <w:tl2br w:val="nil"/>
                    <w:tr2bl w:val="nil"/>
                  </w:tcBorders>
                  <w:shd w:val="clear" w:color="000000" w:fill="auto"/>
                  <w:noWrap/>
                  <w:vAlign w:val="center"/>
                </w:tcPr>
                <w:p>
                  <w:pPr>
                    <w:widowControl/>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9</w:t>
                  </w:r>
                </w:p>
              </w:tc>
              <w:tc>
                <w:tcPr>
                  <w:tcW w:w="3008"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21"/>
                      <w:szCs w:val="21"/>
                      <w:lang w:val="en-US" w:eastAsia="zh-CN" w:bidi="he-IL"/>
                    </w:rPr>
                  </w:pPr>
                  <w:r>
                    <w:rPr>
                      <w:rFonts w:hint="eastAsia" w:eastAsia="黑体"/>
                      <w:spacing w:val="-5"/>
                      <w:kern w:val="0"/>
                      <w:sz w:val="21"/>
                      <w:szCs w:val="21"/>
                      <w:lang w:bidi="he-IL"/>
                    </w:rPr>
                    <w:t>包装机</w:t>
                  </w:r>
                </w:p>
              </w:tc>
              <w:tc>
                <w:tcPr>
                  <w:tcW w:w="1306" w:type="pct"/>
                  <w:tcBorders>
                    <w:tl2br w:val="nil"/>
                    <w:tr2bl w:val="nil"/>
                  </w:tcBorders>
                  <w:shd w:val="clear" w:color="000000" w:fill="auto"/>
                  <w:noWrap/>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eastAsiaTheme="minorEastAsia"/>
                      <w:color w:val="000000" w:themeColor="text1"/>
                      <w:kern w:val="2"/>
                      <w:sz w:val="21"/>
                      <w:szCs w:val="21"/>
                      <w:lang w:val="en-US" w:eastAsia="zh-CN" w:bidi="ar-SA"/>
                      <w14:textFill>
                        <w14:solidFill>
                          <w14:schemeClr w14:val="tx1"/>
                        </w14:solidFill>
                      </w14:textFill>
                    </w:rPr>
                    <w:t>2套</w:t>
                  </w:r>
                </w:p>
              </w:tc>
            </w:tr>
          </w:tbl>
          <w:p>
            <w:pPr>
              <w:numPr>
                <w:ilvl w:val="0"/>
                <w:numId w:val="7"/>
              </w:numPr>
              <w:ind w:firstLine="480"/>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eastAsia="zh-CN"/>
                <w14:textFill>
                  <w14:solidFill>
                    <w14:schemeClr w14:val="tx1"/>
                  </w14:solidFill>
                </w14:textFill>
              </w:rPr>
              <w:t>主要原辅材料</w:t>
            </w:r>
          </w:p>
          <w:p>
            <w:p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本项目主要原辅材料及年用量见表2-4。</w:t>
            </w:r>
          </w:p>
          <w:p>
            <w:pPr>
              <w:spacing w:line="240" w:lineRule="auto"/>
              <w:ind w:firstLine="0" w:firstLineChars="0"/>
              <w:jc w:val="center"/>
              <w:rPr>
                <w:rFonts w:hint="default" w:ascii="Times New Roman" w:hAnsi="Times New Roman" w:cs="Times New Roman"/>
                <w:b/>
                <w:bCs/>
                <w:color w:val="0000FF"/>
                <w:sz w:val="21"/>
                <w:szCs w:val="21"/>
              </w:rPr>
            </w:pPr>
            <w:r>
              <w:rPr>
                <w:rFonts w:hint="default" w:ascii="Times New Roman" w:hAnsi="Times New Roman" w:cs="Times New Roman"/>
                <w:b/>
                <w:bCs/>
                <w:color w:val="0000FF"/>
                <w:sz w:val="21"/>
                <w:szCs w:val="21"/>
              </w:rPr>
              <w:t>表2-4  主要原辅材料用量表</w:t>
            </w:r>
          </w:p>
          <w:tbl>
            <w:tblPr>
              <w:tblStyle w:val="20"/>
              <w:tblW w:w="4996"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15" w:type="dxa"/>
                <w:left w:w="15" w:type="dxa"/>
                <w:bottom w:w="15" w:type="dxa"/>
                <w:right w:w="15" w:type="dxa"/>
              </w:tblCellMar>
            </w:tblPr>
            <w:tblGrid>
              <w:gridCol w:w="2596"/>
              <w:gridCol w:w="2477"/>
              <w:gridCol w:w="4201"/>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23" w:hRule="atLeast"/>
              </w:trPr>
              <w:tc>
                <w:tcPr>
                  <w:tcW w:w="1399" w:type="pct"/>
                  <w:tcBorders>
                    <w:tl2br w:val="nil"/>
                    <w:tr2bl w:val="nil"/>
                  </w:tcBorders>
                  <w:vAlign w:val="center"/>
                </w:tcPr>
                <w:p>
                  <w:pPr>
                    <w:widowControl/>
                    <w:spacing w:line="240" w:lineRule="auto"/>
                    <w:ind w:firstLine="0" w:firstLineChars="0"/>
                    <w:jc w:val="center"/>
                    <w:textAlignment w:val="center"/>
                    <w:rPr>
                      <w:rFonts w:hint="default" w:ascii="Times New Roman" w:hAnsi="Times New Roman" w:cs="Times New Roman"/>
                      <w:b/>
                      <w:bCs/>
                      <w:color w:val="0000FF"/>
                      <w:sz w:val="21"/>
                      <w:szCs w:val="21"/>
                    </w:rPr>
                  </w:pPr>
                  <w:r>
                    <w:rPr>
                      <w:rFonts w:hint="default" w:ascii="Times New Roman" w:hAnsi="Times New Roman" w:cs="Times New Roman"/>
                      <w:b/>
                      <w:bCs/>
                      <w:color w:val="0000FF"/>
                      <w:sz w:val="21"/>
                      <w:szCs w:val="21"/>
                    </w:rPr>
                    <w:t>原辅料名称</w:t>
                  </w:r>
                </w:p>
              </w:tc>
              <w:tc>
                <w:tcPr>
                  <w:tcW w:w="1335" w:type="pct"/>
                  <w:tcBorders>
                    <w:tl2br w:val="nil"/>
                    <w:tr2bl w:val="nil"/>
                  </w:tcBorders>
                  <w:vAlign w:val="center"/>
                </w:tcPr>
                <w:p>
                  <w:pPr>
                    <w:widowControl/>
                    <w:spacing w:line="240" w:lineRule="auto"/>
                    <w:ind w:firstLine="0" w:firstLineChars="0"/>
                    <w:jc w:val="center"/>
                    <w:textAlignment w:val="center"/>
                    <w:rPr>
                      <w:rFonts w:hint="eastAsia" w:ascii="Times New Roman" w:hAnsi="Times New Roman" w:eastAsia="宋体" w:cs="Times New Roman"/>
                      <w:b/>
                      <w:bCs/>
                      <w:color w:val="0000FF"/>
                      <w:sz w:val="21"/>
                      <w:szCs w:val="21"/>
                      <w:lang w:eastAsia="zh-CN"/>
                    </w:rPr>
                  </w:pPr>
                  <w:r>
                    <w:rPr>
                      <w:rFonts w:hint="default" w:ascii="Times New Roman" w:hAnsi="Times New Roman" w:cs="Times New Roman"/>
                      <w:b/>
                      <w:bCs/>
                      <w:color w:val="0000FF"/>
                      <w:sz w:val="21"/>
                      <w:szCs w:val="21"/>
                    </w:rPr>
                    <w:t>消耗量</w:t>
                  </w:r>
                  <w:r>
                    <w:rPr>
                      <w:rFonts w:hint="eastAsia" w:cs="Times New Roman"/>
                      <w:b/>
                      <w:bCs/>
                      <w:color w:val="0000FF"/>
                      <w:sz w:val="21"/>
                      <w:szCs w:val="21"/>
                      <w:lang w:eastAsia="zh-CN"/>
                    </w:rPr>
                    <w:t>（</w:t>
                  </w:r>
                  <w:r>
                    <w:rPr>
                      <w:rFonts w:hint="eastAsia" w:cs="Times New Roman"/>
                      <w:b/>
                      <w:bCs/>
                      <w:color w:val="0000FF"/>
                      <w:sz w:val="21"/>
                      <w:szCs w:val="21"/>
                      <w:lang w:val="en-US" w:eastAsia="zh-CN"/>
                    </w:rPr>
                    <w:t>t/a</w:t>
                  </w:r>
                  <w:r>
                    <w:rPr>
                      <w:rFonts w:hint="eastAsia" w:cs="Times New Roman"/>
                      <w:b/>
                      <w:bCs/>
                      <w:color w:val="0000FF"/>
                      <w:sz w:val="21"/>
                      <w:szCs w:val="21"/>
                      <w:lang w:eastAsia="zh-CN"/>
                    </w:rPr>
                    <w:t>）</w:t>
                  </w:r>
                </w:p>
              </w:tc>
              <w:tc>
                <w:tcPr>
                  <w:tcW w:w="2264" w:type="pct"/>
                  <w:tcBorders>
                    <w:tl2br w:val="nil"/>
                    <w:tr2bl w:val="nil"/>
                  </w:tcBorders>
                  <w:vAlign w:val="center"/>
                </w:tcPr>
                <w:p>
                  <w:pPr>
                    <w:widowControl/>
                    <w:spacing w:line="240" w:lineRule="auto"/>
                    <w:ind w:firstLine="0" w:firstLineChars="0"/>
                    <w:jc w:val="center"/>
                    <w:textAlignment w:val="center"/>
                    <w:rPr>
                      <w:rFonts w:hint="eastAsia" w:ascii="Times New Roman" w:hAnsi="Times New Roman" w:eastAsia="宋体" w:cs="Times New Roman"/>
                      <w:b/>
                      <w:bCs/>
                      <w:color w:val="0000FF"/>
                      <w:sz w:val="21"/>
                      <w:szCs w:val="21"/>
                      <w:lang w:eastAsia="zh-CN"/>
                    </w:rPr>
                  </w:pPr>
                  <w:r>
                    <w:rPr>
                      <w:rFonts w:hint="eastAsia" w:cs="Times New Roman"/>
                      <w:b/>
                      <w:bCs/>
                      <w:color w:val="0000FF"/>
                      <w:sz w:val="21"/>
                      <w:szCs w:val="21"/>
                      <w:lang w:eastAsia="zh-CN"/>
                    </w:rPr>
                    <w:t>包装方式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139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21"/>
                      <w:szCs w:val="21"/>
                      <w:lang w:eastAsia="zh-CN"/>
                    </w:rPr>
                  </w:pPr>
                  <w:r>
                    <w:rPr>
                      <w:rFonts w:hint="eastAsia"/>
                      <w:color w:val="0000FF"/>
                      <w:sz w:val="21"/>
                      <w:szCs w:val="21"/>
                      <w:vertAlign w:val="baseline"/>
                      <w:lang w:val="en-US" w:eastAsia="zh-CN"/>
                    </w:rPr>
                    <w:t>高密度聚乙烯</w:t>
                  </w:r>
                </w:p>
              </w:tc>
              <w:tc>
                <w:tcPr>
                  <w:tcW w:w="133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7902.272</w:t>
                  </w:r>
                </w:p>
              </w:tc>
              <w:tc>
                <w:tcPr>
                  <w:tcW w:w="2264" w:type="pct"/>
                  <w:tcBorders>
                    <w:tl2br w:val="nil"/>
                    <w:tr2bl w:val="nil"/>
                  </w:tcBorders>
                  <w:vAlign w:val="center"/>
                </w:tcPr>
                <w:p>
                  <w:pPr>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袋装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23" w:hRule="atLeast"/>
              </w:trPr>
              <w:tc>
                <w:tcPr>
                  <w:tcW w:w="139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21"/>
                      <w:szCs w:val="21"/>
                      <w:lang w:eastAsia="zh-CN"/>
                    </w:rPr>
                  </w:pPr>
                  <w:r>
                    <w:rPr>
                      <w:rFonts w:hint="eastAsia" w:cs="Times New Roman"/>
                      <w:color w:val="0000FF"/>
                      <w:sz w:val="21"/>
                      <w:szCs w:val="21"/>
                      <w:lang w:eastAsia="zh-CN"/>
                    </w:rPr>
                    <w:t>生物酶</w:t>
                  </w:r>
                </w:p>
              </w:tc>
              <w:tc>
                <w:tcPr>
                  <w:tcW w:w="133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1000.284</w:t>
                  </w:r>
                </w:p>
              </w:tc>
              <w:tc>
                <w:tcPr>
                  <w:tcW w:w="2264" w:type="pct"/>
                  <w:tcBorders>
                    <w:tl2br w:val="nil"/>
                    <w:tr2bl w:val="nil"/>
                  </w:tcBorders>
                  <w:vAlign w:val="center"/>
                </w:tcPr>
                <w:p>
                  <w:pPr>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袋装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23" w:hRule="atLeast"/>
              </w:trPr>
              <w:tc>
                <w:tcPr>
                  <w:tcW w:w="139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21"/>
                      <w:szCs w:val="21"/>
                      <w:lang w:eastAsia="zh-CN"/>
                    </w:rPr>
                  </w:pPr>
                  <w:r>
                    <w:rPr>
                      <w:rFonts w:hint="eastAsia" w:cs="Times New Roman"/>
                      <w:color w:val="0000FF"/>
                      <w:sz w:val="21"/>
                      <w:szCs w:val="21"/>
                      <w:lang w:eastAsia="zh-CN"/>
                    </w:rPr>
                    <w:t>碳酸钙</w:t>
                  </w:r>
                </w:p>
              </w:tc>
              <w:tc>
                <w:tcPr>
                  <w:tcW w:w="1335" w:type="pct"/>
                  <w:tcBorders>
                    <w:tl2br w:val="nil"/>
                    <w:tr2bl w:val="nil"/>
                  </w:tcBorders>
                  <w:vAlign w:val="center"/>
                </w:tcPr>
                <w:p>
                  <w:pPr>
                    <w:spacing w:line="240" w:lineRule="auto"/>
                    <w:ind w:firstLine="0" w:firstLineChars="0"/>
                    <w:jc w:val="center"/>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8967.916</w:t>
                  </w:r>
                </w:p>
              </w:tc>
              <w:tc>
                <w:tcPr>
                  <w:tcW w:w="2264" w:type="pct"/>
                  <w:tcBorders>
                    <w:tl2br w:val="nil"/>
                    <w:tr2bl w:val="nil"/>
                  </w:tcBorders>
                  <w:vAlign w:val="center"/>
                </w:tcPr>
                <w:p>
                  <w:pPr>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袋装</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PrEx>
              <w:trPr>
                <w:trHeight w:val="23" w:hRule="atLeast"/>
              </w:trPr>
              <w:tc>
                <w:tcPr>
                  <w:tcW w:w="1399" w:type="pct"/>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FF"/>
                      <w:sz w:val="21"/>
                      <w:szCs w:val="21"/>
                      <w:lang w:eastAsia="zh-CN"/>
                    </w:rPr>
                  </w:pPr>
                  <w:r>
                    <w:rPr>
                      <w:rFonts w:hint="eastAsia" w:cs="Times New Roman"/>
                      <w:color w:val="0000FF"/>
                      <w:sz w:val="21"/>
                      <w:szCs w:val="21"/>
                      <w:lang w:eastAsia="zh-CN"/>
                    </w:rPr>
                    <w:t>其他助剂</w:t>
                  </w:r>
                </w:p>
              </w:tc>
              <w:tc>
                <w:tcPr>
                  <w:tcW w:w="1335" w:type="pct"/>
                  <w:tcBorders>
                    <w:tl2br w:val="nil"/>
                    <w:tr2bl w:val="nil"/>
                  </w:tcBorders>
                  <w:vAlign w:val="center"/>
                </w:tcPr>
                <w:p>
                  <w:pPr>
                    <w:spacing w:line="240" w:lineRule="auto"/>
                    <w:ind w:firstLine="0" w:firstLineChars="0"/>
                    <w:jc w:val="center"/>
                    <w:rPr>
                      <w:rFonts w:hint="default" w:cs="Times New Roman"/>
                      <w:color w:val="0000FF"/>
                      <w:sz w:val="21"/>
                      <w:szCs w:val="21"/>
                      <w:lang w:val="en-US" w:eastAsia="zh-CN"/>
                    </w:rPr>
                  </w:pPr>
                  <w:r>
                    <w:rPr>
                      <w:rFonts w:hint="eastAsia" w:cs="Times New Roman"/>
                      <w:color w:val="0000FF"/>
                      <w:sz w:val="21"/>
                      <w:szCs w:val="21"/>
                      <w:lang w:val="en-US" w:eastAsia="zh-CN"/>
                    </w:rPr>
                    <w:t>2000.568</w:t>
                  </w:r>
                </w:p>
              </w:tc>
              <w:tc>
                <w:tcPr>
                  <w:tcW w:w="2264" w:type="pct"/>
                  <w:tcBorders>
                    <w:tl2br w:val="nil"/>
                    <w:tr2bl w:val="nil"/>
                  </w:tcBorders>
                  <w:vAlign w:val="center"/>
                </w:tcPr>
                <w:p>
                  <w:pPr>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袋装</w:t>
                  </w:r>
                </w:p>
              </w:tc>
            </w:tr>
          </w:tbl>
          <w:p>
            <w:pPr>
              <w:spacing w:line="240" w:lineRule="auto"/>
              <w:ind w:firstLine="0" w:firstLineChars="0"/>
              <w:jc w:val="center"/>
              <w:rPr>
                <w:rFonts w:hint="default" w:ascii="Times New Roman" w:hAnsi="Times New Roman" w:cs="Times New Roman"/>
                <w:b/>
                <w:bCs/>
                <w:color w:val="000000" w:themeColor="text1"/>
                <w:sz w:val="21"/>
                <w:szCs w:val="21"/>
                <w:shd w:val="clear" w:color="auto" w:fill="auto"/>
                <w:lang w:val="en-US" w:eastAsia="zh-CN"/>
                <w14:textFill>
                  <w14:solidFill>
                    <w14:schemeClr w14:val="tx1"/>
                  </w14:solidFill>
                </w14:textFill>
              </w:rPr>
            </w:pPr>
            <w:r>
              <w:rPr>
                <w:rFonts w:hint="default" w:ascii="Times New Roman" w:hAnsi="Times New Roman" w:cs="Times New Roman"/>
                <w:b/>
                <w:bCs/>
                <w:color w:val="000000" w:themeColor="text1"/>
                <w:sz w:val="21"/>
                <w:szCs w:val="21"/>
                <w:shd w:val="clear" w:color="auto" w:fill="auto"/>
                <w:lang w:eastAsia="zh-CN"/>
                <w14:textFill>
                  <w14:solidFill>
                    <w14:schemeClr w14:val="tx1"/>
                  </w14:solidFill>
                </w14:textFill>
              </w:rPr>
              <w:t>表</w:t>
            </w:r>
            <w:r>
              <w:rPr>
                <w:rFonts w:hint="default" w:ascii="Times New Roman" w:hAnsi="Times New Roman" w:cs="Times New Roman"/>
                <w:b/>
                <w:bCs/>
                <w:color w:val="000000" w:themeColor="text1"/>
                <w:sz w:val="21"/>
                <w:szCs w:val="21"/>
                <w:shd w:val="clear" w:color="auto" w:fill="auto"/>
                <w:lang w:val="en-US" w:eastAsia="zh-CN"/>
                <w14:textFill>
                  <w14:solidFill>
                    <w14:schemeClr w14:val="tx1"/>
                  </w14:solidFill>
                </w14:textFill>
              </w:rPr>
              <w:t>2-5  主要原辅材料理化性能</w:t>
            </w:r>
          </w:p>
          <w:tbl>
            <w:tblPr>
              <w:tblStyle w:val="20"/>
              <w:tblW w:w="4996"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autofit"/>
              <w:tblCellMar>
                <w:top w:w="15" w:type="dxa"/>
                <w:left w:w="15" w:type="dxa"/>
                <w:bottom w:w="15" w:type="dxa"/>
                <w:right w:w="15" w:type="dxa"/>
              </w:tblCellMar>
            </w:tblPr>
            <w:tblGrid>
              <w:gridCol w:w="673"/>
              <w:gridCol w:w="8601"/>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363" w:type="pct"/>
                  <w:tcBorders>
                    <w:tl2br w:val="nil"/>
                    <w:tr2bl w:val="nil"/>
                  </w:tcBorders>
                  <w:vAlign w:val="center"/>
                </w:tcPr>
                <w:p>
                  <w:pPr>
                    <w:widowControl/>
                    <w:spacing w:line="240" w:lineRule="auto"/>
                    <w:ind w:firstLine="0" w:firstLineChars="0"/>
                    <w:jc w:val="center"/>
                    <w:textAlignment w:val="center"/>
                    <w:rPr>
                      <w:rFonts w:hint="default" w:ascii="Times New Roman" w:hAnsi="Times New Roman" w:eastAsia="宋体" w:cs="Times New Roman"/>
                      <w:b/>
                      <w:bCs/>
                      <w:color w:val="000000" w:themeColor="text1"/>
                      <w:sz w:val="21"/>
                      <w:szCs w:val="21"/>
                      <w:shd w:val="clear" w:color="auto" w:fill="auto"/>
                      <w14:textFill>
                        <w14:solidFill>
                          <w14:schemeClr w14:val="tx1"/>
                        </w14:solidFill>
                      </w14:textFill>
                    </w:rPr>
                  </w:pPr>
                  <w:r>
                    <w:rPr>
                      <w:rFonts w:hint="default" w:ascii="Times New Roman" w:hAnsi="Times New Roman" w:eastAsia="宋体" w:cs="Times New Roman"/>
                      <w:b/>
                      <w:bCs/>
                      <w:color w:val="000000" w:themeColor="text1"/>
                      <w:sz w:val="21"/>
                      <w:szCs w:val="21"/>
                      <w:shd w:val="clear" w:color="auto" w:fill="auto"/>
                      <w14:textFill>
                        <w14:solidFill>
                          <w14:schemeClr w14:val="tx1"/>
                        </w14:solidFill>
                      </w14:textFill>
                    </w:rPr>
                    <w:t>名称</w:t>
                  </w:r>
                </w:p>
              </w:tc>
              <w:tc>
                <w:tcPr>
                  <w:tcW w:w="4636" w:type="pct"/>
                  <w:tcBorders>
                    <w:tl2br w:val="nil"/>
                    <w:tr2bl w:val="nil"/>
                  </w:tcBorders>
                  <w:vAlign w:val="center"/>
                </w:tcPr>
                <w:p>
                  <w:pPr>
                    <w:widowControl/>
                    <w:spacing w:line="240" w:lineRule="auto"/>
                    <w:ind w:firstLine="0" w:firstLineChars="0"/>
                    <w:jc w:val="center"/>
                    <w:textAlignment w:val="center"/>
                    <w:rPr>
                      <w:rFonts w:hint="default" w:ascii="Times New Roman" w:hAnsi="Times New Roman" w:eastAsia="宋体" w:cs="Times New Roman"/>
                      <w:b/>
                      <w:bCs/>
                      <w:color w:val="000000" w:themeColor="text1"/>
                      <w:sz w:val="21"/>
                      <w:szCs w:val="21"/>
                      <w:shd w:val="clear" w:color="auto" w:fill="auto"/>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shd w:val="clear" w:color="auto" w:fill="auto"/>
                      <w:lang w:eastAsia="zh-CN"/>
                      <w14:textFill>
                        <w14:solidFill>
                          <w14:schemeClr w14:val="tx1"/>
                        </w14:solidFill>
                      </w14:textFill>
                    </w:rPr>
                    <w:t>理化性能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363" w:type="pc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shd w:val="clear" w:color="auto" w:fill="auto"/>
                      <w:lang w:eastAsia="zh-CN"/>
                      <w14:textFill>
                        <w14:solidFill>
                          <w14:schemeClr w14:val="tx1"/>
                        </w14:solidFill>
                      </w14:textFill>
                    </w:rPr>
                  </w:pPr>
                  <w:r>
                    <w:rPr>
                      <w:rFonts w:hint="eastAsia" w:cs="Times New Roman"/>
                      <w:color w:val="000000" w:themeColor="text1"/>
                      <w:sz w:val="21"/>
                      <w:szCs w:val="21"/>
                      <w:shd w:val="clear" w:color="auto" w:fill="auto"/>
                      <w:lang w:eastAsia="zh-CN"/>
                      <w14:textFill>
                        <w14:solidFill>
                          <w14:schemeClr w14:val="tx1"/>
                        </w14:solidFill>
                      </w14:textFill>
                    </w:rPr>
                    <w:t>高密度聚乙烯</w:t>
                  </w:r>
                </w:p>
              </w:tc>
              <w:tc>
                <w:tcPr>
                  <w:tcW w:w="463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sz w:val="21"/>
                      <w:szCs w:val="21"/>
                      <w:u w:val="none"/>
                      <w:shd w:val="clear" w:color="auto" w:fill="auto"/>
                      <w:lang w:eastAsia="zh-CN"/>
                      <w14:textFill>
                        <w14:solidFill>
                          <w14:schemeClr w14:val="tx1"/>
                        </w14:solidFill>
                      </w14:textFill>
                    </w:rPr>
                  </w:pPr>
                  <w:r>
                    <w:rPr>
                      <w:rFonts w:hint="default" w:ascii="Times New Roman" w:hAnsi="Times New Roman" w:eastAsia="宋体" w:cs="Times New Roman"/>
                      <w:color w:val="000000" w:themeColor="text1"/>
                      <w:sz w:val="21"/>
                      <w:szCs w:val="21"/>
                      <w:u w:val="none"/>
                      <w:shd w:val="clear" w:color="auto" w:fill="auto"/>
                      <w:lang w:eastAsia="zh-CN"/>
                      <w14:textFill>
                        <w14:solidFill>
                          <w14:schemeClr w14:val="tx1"/>
                        </w14:solidFill>
                      </w14:textFill>
                    </w:rPr>
                    <w:t>高密度聚乙烯(High Density Polyethylene，简称为"HDPE")又称低压聚乙烯，是一种结晶度高、非极性面呈一定程度的半透明状。高密度聚乙烯是种白色粉末颗粒状产品，无毒、无味，密度在0.940~0.976 g/cm</w:t>
                  </w:r>
                  <w:r>
                    <w:rPr>
                      <w:rFonts w:hint="default" w:ascii="Times New Roman" w:hAnsi="Times New Roman" w:eastAsia="宋体" w:cs="Times New Roman"/>
                      <w:color w:val="000000" w:themeColor="text1"/>
                      <w:sz w:val="21"/>
                      <w:szCs w:val="21"/>
                      <w:u w:val="none"/>
                      <w:shd w:val="clear" w:color="auto" w:fill="auto"/>
                      <w:vertAlign w:val="superscript"/>
                      <w:lang w:eastAsia="zh-CN"/>
                      <w14:textFill>
                        <w14:solidFill>
                          <w14:schemeClr w14:val="tx1"/>
                        </w14:solidFill>
                      </w14:textFill>
                    </w:rPr>
                    <w:t>3</w:t>
                  </w:r>
                  <w:r>
                    <w:rPr>
                      <w:rFonts w:hint="default" w:ascii="Times New Roman" w:hAnsi="Times New Roman" w:eastAsia="宋体" w:cs="Times New Roman"/>
                      <w:color w:val="000000" w:themeColor="text1"/>
                      <w:sz w:val="21"/>
                      <w:szCs w:val="21"/>
                      <w:u w:val="none"/>
                      <w:shd w:val="clear" w:color="auto" w:fill="auto"/>
                      <w:lang w:eastAsia="zh-CN"/>
                      <w14:textFill>
                        <w14:solidFill>
                          <w14:schemeClr w14:val="tx1"/>
                        </w14:solidFill>
                      </w14:textFill>
                    </w:rPr>
                    <w:t>范围内</w:t>
                  </w:r>
                  <w:r>
                    <w:rPr>
                      <w:rFonts w:hint="eastAsia" w:cs="Times New Roman"/>
                      <w:color w:val="000000" w:themeColor="text1"/>
                      <w:sz w:val="21"/>
                      <w:szCs w:val="21"/>
                      <w:u w:val="none"/>
                      <w:shd w:val="clear" w:color="auto" w:fill="auto"/>
                      <w:lang w:eastAsia="zh-CN"/>
                      <w14:textFill>
                        <w14:solidFill>
                          <w14:schemeClr w14:val="tx1"/>
                        </w14:solidFill>
                      </w14:textFill>
                    </w:rPr>
                    <w:t>；</w:t>
                  </w:r>
                  <w:r>
                    <w:rPr>
                      <w:rFonts w:hint="default" w:ascii="Times New Roman" w:hAnsi="Times New Roman" w:eastAsia="宋体" w:cs="Times New Roman"/>
                      <w:color w:val="000000" w:themeColor="text1"/>
                      <w:sz w:val="21"/>
                      <w:szCs w:val="21"/>
                      <w:u w:val="none"/>
                      <w:shd w:val="clear" w:color="auto" w:fill="auto"/>
                      <w:lang w:eastAsia="zh-CN"/>
                      <w14:textFill>
                        <w14:solidFill>
                          <w14:schemeClr w14:val="tx1"/>
                        </w14:solidFill>
                      </w14:textFill>
                    </w:rPr>
                    <w:t>结晶度为80%~90%，软化点为125~135℃，使用温度可达100℃</w:t>
                  </w:r>
                  <w:r>
                    <w:rPr>
                      <w:rFonts w:hint="eastAsia" w:cs="Times New Roman"/>
                      <w:color w:val="000000" w:themeColor="text1"/>
                      <w:sz w:val="21"/>
                      <w:szCs w:val="21"/>
                      <w:u w:val="none"/>
                      <w:shd w:val="clear" w:color="auto" w:fill="auto"/>
                      <w:lang w:eastAsia="zh-CN"/>
                      <w14:textFill>
                        <w14:solidFill>
                          <w14:schemeClr w14:val="tx1"/>
                        </w14:solidFill>
                      </w14:textFill>
                    </w:rPr>
                    <w:t>；</w:t>
                  </w:r>
                  <w:r>
                    <w:rPr>
                      <w:rFonts w:hint="default" w:ascii="Times New Roman" w:hAnsi="Times New Roman" w:eastAsia="宋体" w:cs="Times New Roman"/>
                      <w:color w:val="000000" w:themeColor="text1"/>
                      <w:sz w:val="21"/>
                      <w:szCs w:val="21"/>
                      <w:u w:val="none"/>
                      <w:shd w:val="clear" w:color="auto" w:fill="auto"/>
                      <w:lang w:eastAsia="zh-CN"/>
                      <w14:textFill>
                        <w14:solidFill>
                          <w14:schemeClr w14:val="tx1"/>
                        </w14:solidFill>
                      </w14:textFill>
                    </w:rPr>
                    <w:t>熔化温度120~160℃，对于分子较大的材料，建议熔化温度范围在200~250℃之间。它具有良好的耐热性和耐寒性，化学稳定性好，还具有较高的刚性和韧性，机械强度好。介电性能，耐环境应力开裂性亦较好。</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3" w:hRule="atLeast"/>
              </w:trPr>
              <w:tc>
                <w:tcPr>
                  <w:tcW w:w="363" w:type="pc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cs="Times New Roman"/>
                      <w:color w:val="000000" w:themeColor="text1"/>
                      <w:sz w:val="21"/>
                      <w:szCs w:val="21"/>
                      <w:shd w:val="clear" w:color="auto" w:fill="auto"/>
                      <w:lang w:eastAsia="zh-CN"/>
                      <w14:textFill>
                        <w14:solidFill>
                          <w14:schemeClr w14:val="tx1"/>
                        </w14:solidFill>
                      </w14:textFill>
                    </w:rPr>
                  </w:pPr>
                  <w:r>
                    <w:rPr>
                      <w:rFonts w:hint="eastAsia" w:cs="Times New Roman"/>
                      <w:color w:val="000000" w:themeColor="text1"/>
                      <w:sz w:val="21"/>
                      <w:szCs w:val="21"/>
                      <w:shd w:val="clear" w:color="auto" w:fill="auto"/>
                      <w:lang w:eastAsia="zh-CN"/>
                      <w14:textFill>
                        <w14:solidFill>
                          <w14:schemeClr w14:val="tx1"/>
                        </w14:solidFill>
                      </w14:textFill>
                    </w:rPr>
                    <w:t>碳酸钙</w:t>
                  </w:r>
                </w:p>
              </w:tc>
              <w:tc>
                <w:tcPr>
                  <w:tcW w:w="4636" w:type="pc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cs="Times New Roman"/>
                      <w:color w:val="000000" w:themeColor="text1"/>
                      <w:sz w:val="21"/>
                      <w:szCs w:val="21"/>
                      <w:u w:val="none"/>
                      <w:shd w:val="clear" w:color="auto" w:fill="auto"/>
                      <w:lang w:eastAsia="zh-CN"/>
                      <w14:textFill>
                        <w14:solidFill>
                          <w14:schemeClr w14:val="tx1"/>
                        </w14:solidFill>
                      </w14:textFill>
                    </w:rPr>
                  </w:pPr>
                  <w:r>
                    <w:rPr>
                      <w:rFonts w:hint="default" w:ascii="Times New Roman" w:hAnsi="Times New Roman" w:eastAsia="宋体" w:cs="Times New Roman"/>
                      <w:b w:val="0"/>
                      <w:bCs w:val="0"/>
                      <w:color w:val="000000"/>
                      <w:sz w:val="21"/>
                      <w:szCs w:val="21"/>
                      <w:vertAlign w:val="baseline"/>
                      <w:lang w:val="en-US" w:eastAsia="zh-CN"/>
                    </w:rPr>
                    <w:t>白色粉末，无味、无臭。有无定型和结晶型两种形态。结晶型中又可分为斜方晶系和六方晶系，呈柱状或菱形。相对密度2.71。825～896.6℃分解，熔点1339℃，10.7MPa下熔点为1289℃。化学性质稳定，可用作塑料填充剂，使塑料更易加工成型，降低企业生产成本。</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56" w:hRule="atLeast"/>
              </w:trPr>
              <w:tc>
                <w:tcPr>
                  <w:tcW w:w="363" w:type="pc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cs="Times New Roman"/>
                      <w:color w:val="0000FF"/>
                      <w:sz w:val="21"/>
                      <w:szCs w:val="21"/>
                      <w:shd w:val="clear" w:color="auto" w:fill="auto"/>
                      <w:lang w:eastAsia="zh-CN"/>
                    </w:rPr>
                  </w:pPr>
                  <w:r>
                    <w:rPr>
                      <w:rFonts w:hint="eastAsia" w:cs="Times New Roman"/>
                      <w:color w:val="0000FF"/>
                      <w:sz w:val="21"/>
                      <w:szCs w:val="21"/>
                      <w:shd w:val="clear" w:color="auto" w:fill="auto"/>
                      <w:lang w:eastAsia="zh-CN"/>
                    </w:rPr>
                    <w:t>生物酶</w:t>
                  </w:r>
                </w:p>
              </w:tc>
              <w:tc>
                <w:tcPr>
                  <w:tcW w:w="4636" w:type="pc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ascii="Times New Roman" w:hAnsi="Times New Roman" w:eastAsia="宋体" w:cs="Times New Roman"/>
                      <w:b w:val="0"/>
                      <w:bCs w:val="0"/>
                      <w:color w:val="0000FF"/>
                      <w:sz w:val="21"/>
                      <w:szCs w:val="21"/>
                      <w:vertAlign w:val="baseline"/>
                      <w:lang w:val="en-US" w:eastAsia="zh-CN"/>
                    </w:rPr>
                  </w:pPr>
                  <w:r>
                    <w:rPr>
                      <w:rFonts w:hint="eastAsia" w:cs="Times New Roman"/>
                      <w:b w:val="0"/>
                      <w:bCs w:val="0"/>
                      <w:color w:val="0000FF"/>
                      <w:sz w:val="21"/>
                      <w:szCs w:val="21"/>
                      <w:vertAlign w:val="baseline"/>
                      <w:lang w:val="en-US" w:eastAsia="zh-CN"/>
                    </w:rPr>
                    <w:t>生物酶是由活细胞产生的具有催化作用的有机物，是一种无毒、对环境友好的生物催化剂，其化学本质为蛋白质</w:t>
                  </w:r>
                  <w:r>
                    <w:rPr>
                      <w:rFonts w:hint="default" w:ascii="Times New Roman" w:hAnsi="Times New Roman" w:eastAsia="宋体" w:cs="Times New Roman"/>
                      <w:b w:val="0"/>
                      <w:bCs w:val="0"/>
                      <w:color w:val="0000FF"/>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15" w:type="dxa"/>
                  <w:left w:w="15" w:type="dxa"/>
                  <w:bottom w:w="15" w:type="dxa"/>
                  <w:right w:w="15" w:type="dxa"/>
                </w:tblCellMar>
              </w:tblPrEx>
              <w:trPr>
                <w:trHeight w:val="256" w:hRule="atLeast"/>
              </w:trPr>
              <w:tc>
                <w:tcPr>
                  <w:tcW w:w="363" w:type="pc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eastAsia" w:cs="Times New Roman"/>
                      <w:color w:val="0000FF"/>
                      <w:sz w:val="21"/>
                      <w:szCs w:val="21"/>
                      <w:shd w:val="clear" w:color="auto" w:fill="auto"/>
                      <w:lang w:eastAsia="zh-CN"/>
                    </w:rPr>
                  </w:pPr>
                  <w:r>
                    <w:rPr>
                      <w:rFonts w:hint="eastAsia" w:cs="Times New Roman"/>
                      <w:color w:val="0000FF"/>
                      <w:sz w:val="21"/>
                      <w:szCs w:val="21"/>
                      <w:shd w:val="clear" w:color="auto" w:fill="auto"/>
                      <w:lang w:eastAsia="zh-CN"/>
                    </w:rPr>
                    <w:t>其他助剂</w:t>
                  </w:r>
                </w:p>
              </w:tc>
              <w:tc>
                <w:tcPr>
                  <w:tcW w:w="4636" w:type="pct"/>
                  <w:tcBorders>
                    <w:tl2br w:val="nil"/>
                    <w:tr2bl w:val="nil"/>
                  </w:tcBorders>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hint="default" w:cs="Times New Roman"/>
                      <w:b w:val="0"/>
                      <w:bCs w:val="0"/>
                      <w:color w:val="0000FF"/>
                      <w:sz w:val="21"/>
                      <w:szCs w:val="21"/>
                      <w:vertAlign w:val="baseline"/>
                      <w:lang w:val="en-US" w:eastAsia="zh-CN"/>
                    </w:rPr>
                  </w:pPr>
                  <w:r>
                    <w:rPr>
                      <w:rFonts w:hint="eastAsia" w:cs="Times New Roman"/>
                      <w:b w:val="0"/>
                      <w:bCs w:val="0"/>
                      <w:color w:val="0000FF"/>
                      <w:sz w:val="21"/>
                      <w:szCs w:val="21"/>
                      <w:vertAlign w:val="baseline"/>
                      <w:lang w:val="en-US" w:eastAsia="zh-CN"/>
                    </w:rPr>
                    <w:t>本项目所用助剂主要为PE蜡，PE蜡又称高分子蜡简称聚乙烯蜡。因其优良的耐寒性、耐热性、耐化学性和耐磨性而得到广泛的应用。正常生产中，这部分蜡作为一种添加剂可直接加到聚乙烯加工中，它可以增加产品的光泽和加工性能。作为润滑剂，其化学性质稳定、电性能良好。聚乙烯蜡与聚乙烯、聚丙烯、聚醋酸乙烯、乙丙橡胶、丁基橡胶相溶性好。能改善聚乙烯、聚丙烯、ABS的流动性和聚甲基丙烯酸甲酯、聚碳酸酯的脱模性。</w:t>
                  </w:r>
                </w:p>
              </w:tc>
            </w:tr>
          </w:tbl>
          <w:p>
            <w:pPr>
              <w:numPr>
                <w:ilvl w:val="0"/>
                <w:numId w:val="7"/>
              </w:numPr>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生产班次及劳动定员</w:t>
            </w:r>
          </w:p>
          <w:p>
            <w:pPr>
              <w:ind w:firstLine="480"/>
              <w:jc w:val="left"/>
              <w:rPr>
                <w:rFonts w:hint="default" w:ascii="Times New Roman" w:hAnsi="Times New Roman" w:cs="Times New Roman"/>
                <w:color w:val="000000" w:themeColor="text1"/>
                <w14:textFill>
                  <w14:solidFill>
                    <w14:schemeClr w14:val="tx1"/>
                  </w14:solidFill>
                </w14:textFill>
              </w:rPr>
            </w:pPr>
            <w:bookmarkStart w:id="5" w:name="_Hlk505786661"/>
            <w:r>
              <w:rPr>
                <w:rFonts w:hint="default" w:ascii="Times New Roman" w:hAnsi="Times New Roman" w:cs="Times New Roman"/>
                <w:color w:val="000000" w:themeColor="text1"/>
                <w14:textFill>
                  <w14:solidFill>
                    <w14:schemeClr w14:val="tx1"/>
                  </w14:solidFill>
                </w14:textFill>
              </w:rPr>
              <w:t>工作制度：每</w:t>
            </w:r>
            <w:r>
              <w:rPr>
                <w:rFonts w:hint="eastAsia" w:cs="Times New Roman"/>
                <w:color w:val="000000" w:themeColor="text1"/>
                <w:lang w:eastAsia="zh-CN"/>
                <w14:textFill>
                  <w14:solidFill>
                    <w14:schemeClr w14:val="tx1"/>
                  </w14:solidFill>
                </w14:textFill>
              </w:rPr>
              <w:t>天</w:t>
            </w:r>
            <w:r>
              <w:rPr>
                <w:rFonts w:hint="default" w:ascii="Times New Roman" w:hAnsi="Times New Roman" w:cs="Times New Roman"/>
                <w:color w:val="000000" w:themeColor="text1"/>
                <w14:textFill>
                  <w14:solidFill>
                    <w14:schemeClr w14:val="tx1"/>
                  </w14:solidFill>
                </w14:textFill>
              </w:rPr>
              <w:t>工作8小时，年工作300天。</w:t>
            </w:r>
          </w:p>
          <w:p>
            <w:pPr>
              <w:ind w:firstLine="48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劳动定员：员工</w:t>
            </w:r>
            <w:r>
              <w:rPr>
                <w:rFonts w:hint="eastAsia" w:cs="Times New Roman"/>
                <w:color w:val="000000" w:themeColor="text1"/>
                <w:lang w:val="en-US" w:eastAsia="zh-CN"/>
                <w14:textFill>
                  <w14:solidFill>
                    <w14:schemeClr w14:val="tx1"/>
                  </w14:solidFill>
                </w14:textFill>
              </w:rPr>
              <w:t>50</w:t>
            </w:r>
            <w:r>
              <w:rPr>
                <w:rFonts w:hint="default" w:ascii="Times New Roman" w:hAnsi="Times New Roman" w:cs="Times New Roman"/>
                <w:color w:val="000000" w:themeColor="text1"/>
                <w14:textFill>
                  <w14:solidFill>
                    <w14:schemeClr w14:val="tx1"/>
                  </w14:solidFill>
                </w14:textFill>
              </w:rPr>
              <w:t>人。</w:t>
            </w:r>
          </w:p>
          <w:bookmarkEnd w:id="5"/>
          <w:p>
            <w:pPr>
              <w:numPr>
                <w:ilvl w:val="0"/>
                <w:numId w:val="7"/>
              </w:numPr>
              <w:ind w:firstLine="480"/>
              <w:rPr>
                <w:rFonts w:hint="default"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物料平衡</w:t>
            </w:r>
          </w:p>
          <w:p>
            <w:pPr>
              <w:pStyle w:val="4"/>
              <w:keepNext/>
              <w:keepLines/>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rPr>
                <w:rFonts w:hint="eastAsia"/>
                <w:color w:val="0000FF"/>
                <w:sz w:val="21"/>
                <w:szCs w:val="21"/>
                <w:lang w:val="en-US" w:eastAsia="zh-CN"/>
              </w:rPr>
            </w:pPr>
            <w:r>
              <w:rPr>
                <w:rFonts w:hint="eastAsia"/>
                <w:color w:val="0000FF"/>
                <w:sz w:val="21"/>
                <w:szCs w:val="21"/>
                <w:lang w:eastAsia="zh-CN"/>
              </w:rPr>
              <w:t>表</w:t>
            </w:r>
            <w:r>
              <w:rPr>
                <w:rFonts w:hint="eastAsia"/>
                <w:color w:val="0000FF"/>
                <w:sz w:val="21"/>
                <w:szCs w:val="21"/>
                <w:lang w:val="en-US" w:eastAsia="zh-CN"/>
              </w:rPr>
              <w:t>2-6  项目物料平衡表</w:t>
            </w:r>
          </w:p>
          <w:tbl>
            <w:tblPr>
              <w:tblStyle w:val="21"/>
              <w:tblW w:w="9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1780"/>
              <w:gridCol w:w="2601"/>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09"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21"/>
                      <w:szCs w:val="21"/>
                      <w:vertAlign w:val="baseline"/>
                      <w:lang w:val="en-US" w:eastAsia="zh-CN"/>
                    </w:rPr>
                  </w:pPr>
                  <w:r>
                    <w:rPr>
                      <w:rFonts w:hint="default" w:ascii="Times New Roman" w:hAnsi="Times New Roman" w:cs="Times New Roman"/>
                      <w:color w:val="0000FF"/>
                      <w:sz w:val="21"/>
                      <w:szCs w:val="21"/>
                      <w:vertAlign w:val="baseline"/>
                      <w:lang w:val="en-US" w:eastAsia="zh-CN"/>
                    </w:rPr>
                    <w:t>投入物料（t/a）</w:t>
                  </w:r>
                </w:p>
              </w:tc>
              <w:tc>
                <w:tcPr>
                  <w:tcW w:w="5207"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21"/>
                      <w:szCs w:val="21"/>
                      <w:vertAlign w:val="baseline"/>
                      <w:lang w:val="en-US" w:eastAsia="zh-CN"/>
                    </w:rPr>
                  </w:pPr>
                  <w:r>
                    <w:rPr>
                      <w:rFonts w:hint="default" w:ascii="Times New Roman" w:hAnsi="Times New Roman" w:cs="Times New Roman"/>
                      <w:color w:val="0000FF"/>
                      <w:sz w:val="21"/>
                      <w:szCs w:val="21"/>
                      <w:vertAlign w:val="baseline"/>
                      <w:lang w:val="en-US" w:eastAsia="zh-CN"/>
                    </w:rPr>
                    <w:t>产出物料（t/a）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9"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color w:val="0000FF"/>
                      <w:kern w:val="2"/>
                      <w:sz w:val="21"/>
                      <w:szCs w:val="21"/>
                      <w:vertAlign w:val="baseline"/>
                      <w:lang w:val="en-US" w:eastAsia="zh-CN" w:bidi="ar-SA"/>
                    </w:rPr>
                  </w:pPr>
                  <w:r>
                    <w:rPr>
                      <w:rFonts w:hint="default" w:ascii="Times New Roman" w:hAnsi="Times New Roman" w:eastAsia="宋体" w:cs="Times New Roman"/>
                      <w:i w:val="0"/>
                      <w:iCs w:val="0"/>
                      <w:color w:val="0000FF"/>
                      <w:kern w:val="0"/>
                      <w:sz w:val="21"/>
                      <w:szCs w:val="21"/>
                      <w:u w:val="none"/>
                      <w:lang w:val="en-US" w:eastAsia="zh-CN" w:bidi="ar"/>
                    </w:rPr>
                    <w:t>聚乙烯</w:t>
                  </w:r>
                </w:p>
              </w:tc>
              <w:tc>
                <w:tcPr>
                  <w:tcW w:w="1780" w:type="dxa"/>
                  <w:vAlign w:val="center"/>
                </w:tcPr>
                <w:p>
                  <w:pPr>
                    <w:spacing w:line="240" w:lineRule="auto"/>
                    <w:ind w:firstLine="0" w:firstLineChars="0"/>
                    <w:jc w:val="center"/>
                    <w:rPr>
                      <w:rFonts w:hint="default" w:ascii="Times New Roman" w:hAnsi="Times New Roman" w:eastAsia="宋体" w:cs="Times New Roman"/>
                      <w:color w:val="0000FF"/>
                      <w:kern w:val="2"/>
                      <w:sz w:val="21"/>
                      <w:szCs w:val="21"/>
                      <w:lang w:val="en-US" w:eastAsia="zh-CN" w:bidi="ar-SA"/>
                    </w:rPr>
                  </w:pPr>
                  <w:r>
                    <w:rPr>
                      <w:rFonts w:hint="eastAsia" w:cs="Times New Roman"/>
                      <w:color w:val="0000FF"/>
                      <w:sz w:val="21"/>
                      <w:szCs w:val="21"/>
                      <w:lang w:val="en-US" w:eastAsia="zh-CN"/>
                    </w:rPr>
                    <w:t>7902.272</w:t>
                  </w:r>
                </w:p>
              </w:tc>
              <w:tc>
                <w:tcPr>
                  <w:tcW w:w="2601"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cs="Times New Roman"/>
                      <w:color w:val="0000FF"/>
                      <w:sz w:val="21"/>
                      <w:szCs w:val="21"/>
                      <w:vertAlign w:val="baseline"/>
                      <w:lang w:val="en-US" w:eastAsia="zh-CN"/>
                    </w:rPr>
                  </w:pPr>
                  <w:r>
                    <w:rPr>
                      <w:rFonts w:hint="default" w:ascii="Times New Roman" w:hAnsi="Times New Roman" w:eastAsia="宋体" w:cs="Times New Roman"/>
                      <w:i w:val="0"/>
                      <w:iCs w:val="0"/>
                      <w:color w:val="0000FF"/>
                      <w:kern w:val="0"/>
                      <w:sz w:val="21"/>
                      <w:szCs w:val="21"/>
                      <w:u w:val="none"/>
                      <w:lang w:val="en-US" w:eastAsia="zh-CN" w:bidi="ar"/>
                    </w:rPr>
                    <w:t>产品</w:t>
                  </w:r>
                </w:p>
              </w:tc>
              <w:tc>
                <w:tcPr>
                  <w:tcW w:w="260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cs="Times New Roman"/>
                      <w:color w:val="0000FF"/>
                      <w:sz w:val="21"/>
                      <w:szCs w:val="21"/>
                      <w:vertAlign w:val="baseline"/>
                      <w:lang w:val="en-US" w:eastAsia="zh-CN"/>
                    </w:rPr>
                  </w:pPr>
                  <w:r>
                    <w:rPr>
                      <w:rFonts w:hint="eastAsia" w:cs="Times New Roman"/>
                      <w:color w:val="0000FF"/>
                      <w:sz w:val="21"/>
                      <w:szCs w:val="21"/>
                      <w:vertAlign w:val="baseline"/>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329"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color w:val="0000FF"/>
                      <w:kern w:val="2"/>
                      <w:sz w:val="21"/>
                      <w:szCs w:val="21"/>
                      <w:vertAlign w:val="baseline"/>
                      <w:lang w:val="en-US" w:eastAsia="zh-CN" w:bidi="ar-SA"/>
                    </w:rPr>
                  </w:pPr>
                  <w:r>
                    <w:rPr>
                      <w:rFonts w:hint="default" w:ascii="Times New Roman" w:hAnsi="Times New Roman" w:eastAsia="宋体" w:cs="Times New Roman"/>
                      <w:i w:val="0"/>
                      <w:iCs w:val="0"/>
                      <w:color w:val="0000FF"/>
                      <w:kern w:val="0"/>
                      <w:sz w:val="21"/>
                      <w:szCs w:val="21"/>
                      <w:u w:val="none"/>
                      <w:lang w:val="en-US" w:eastAsia="zh-CN" w:bidi="ar"/>
                    </w:rPr>
                    <w:t>生物酶</w:t>
                  </w:r>
                </w:p>
              </w:tc>
              <w:tc>
                <w:tcPr>
                  <w:tcW w:w="1780" w:type="dxa"/>
                  <w:vAlign w:val="center"/>
                </w:tcPr>
                <w:p>
                  <w:pPr>
                    <w:spacing w:line="240" w:lineRule="auto"/>
                    <w:ind w:firstLine="0" w:firstLineChars="0"/>
                    <w:jc w:val="center"/>
                    <w:rPr>
                      <w:rFonts w:hint="default" w:ascii="Times New Roman" w:hAnsi="Times New Roman" w:eastAsia="宋体" w:cs="Times New Roman"/>
                      <w:color w:val="0000FF"/>
                      <w:kern w:val="2"/>
                      <w:sz w:val="21"/>
                      <w:szCs w:val="21"/>
                      <w:lang w:val="en-US" w:eastAsia="zh-CN" w:bidi="ar-SA"/>
                    </w:rPr>
                  </w:pPr>
                  <w:r>
                    <w:rPr>
                      <w:rFonts w:hint="eastAsia" w:cs="Times New Roman"/>
                      <w:color w:val="0000FF"/>
                      <w:sz w:val="21"/>
                      <w:szCs w:val="21"/>
                      <w:lang w:val="en-US" w:eastAsia="zh-CN"/>
                    </w:rPr>
                    <w:t>1000.284</w:t>
                  </w:r>
                </w:p>
              </w:tc>
              <w:tc>
                <w:tcPr>
                  <w:tcW w:w="2601"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cs="Times New Roman"/>
                      <w:color w:val="0000FF"/>
                      <w:sz w:val="21"/>
                      <w:szCs w:val="21"/>
                      <w:vertAlign w:val="baseline"/>
                      <w:lang w:val="en-US" w:eastAsia="zh-CN"/>
                    </w:rPr>
                  </w:pPr>
                  <w:r>
                    <w:rPr>
                      <w:rFonts w:hint="default" w:ascii="Times New Roman" w:hAnsi="Times New Roman" w:eastAsia="宋体" w:cs="Times New Roman"/>
                      <w:i w:val="0"/>
                      <w:iCs w:val="0"/>
                      <w:color w:val="0000FF"/>
                      <w:kern w:val="0"/>
                      <w:sz w:val="21"/>
                      <w:szCs w:val="21"/>
                      <w:u w:val="none"/>
                      <w:lang w:val="en-US" w:eastAsia="zh-CN" w:bidi="ar"/>
                    </w:rPr>
                    <w:t>粉尘</w:t>
                  </w:r>
                </w:p>
              </w:tc>
              <w:tc>
                <w:tcPr>
                  <w:tcW w:w="260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cs="Times New Roman"/>
                      <w:color w:val="0000FF"/>
                      <w:sz w:val="21"/>
                      <w:szCs w:val="21"/>
                      <w:vertAlign w:val="baseline"/>
                      <w:lang w:val="en-US" w:eastAsia="zh-CN"/>
                    </w:rPr>
                  </w:pPr>
                  <w:r>
                    <w:rPr>
                      <w:rFonts w:hint="eastAsia" w:cs="Times New Roman"/>
                      <w:color w:val="0000FF"/>
                      <w:sz w:val="21"/>
                      <w:szCs w:val="21"/>
                      <w:vertAlign w:val="baseline"/>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329"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color w:val="0000FF"/>
                      <w:kern w:val="2"/>
                      <w:sz w:val="21"/>
                      <w:szCs w:val="21"/>
                      <w:vertAlign w:val="baseline"/>
                      <w:lang w:val="en-US" w:eastAsia="zh-CN" w:bidi="ar-SA"/>
                    </w:rPr>
                  </w:pPr>
                  <w:r>
                    <w:rPr>
                      <w:rFonts w:hint="default" w:ascii="Times New Roman" w:hAnsi="Times New Roman" w:eastAsia="宋体" w:cs="Times New Roman"/>
                      <w:i w:val="0"/>
                      <w:iCs w:val="0"/>
                      <w:color w:val="0000FF"/>
                      <w:kern w:val="0"/>
                      <w:sz w:val="21"/>
                      <w:szCs w:val="21"/>
                      <w:u w:val="none"/>
                      <w:lang w:val="en-US" w:eastAsia="zh-CN" w:bidi="ar"/>
                    </w:rPr>
                    <w:t>碳酸钙</w:t>
                  </w:r>
                </w:p>
              </w:tc>
              <w:tc>
                <w:tcPr>
                  <w:tcW w:w="1780" w:type="dxa"/>
                  <w:vAlign w:val="center"/>
                </w:tcPr>
                <w:p>
                  <w:pPr>
                    <w:spacing w:line="240" w:lineRule="auto"/>
                    <w:ind w:firstLine="0" w:firstLineChars="0"/>
                    <w:jc w:val="center"/>
                    <w:rPr>
                      <w:rFonts w:hint="default" w:ascii="Times New Roman" w:hAnsi="Times New Roman" w:eastAsia="宋体" w:cs="Times New Roman"/>
                      <w:color w:val="0000FF"/>
                      <w:kern w:val="2"/>
                      <w:sz w:val="21"/>
                      <w:szCs w:val="21"/>
                      <w:lang w:val="en-US" w:eastAsia="zh-CN" w:bidi="ar-SA"/>
                    </w:rPr>
                  </w:pPr>
                  <w:r>
                    <w:rPr>
                      <w:rFonts w:hint="eastAsia" w:cs="Times New Roman"/>
                      <w:color w:val="0000FF"/>
                      <w:sz w:val="21"/>
                      <w:szCs w:val="21"/>
                      <w:lang w:val="en-US" w:eastAsia="zh-CN"/>
                    </w:rPr>
                    <w:t>8967.916</w:t>
                  </w:r>
                </w:p>
              </w:tc>
              <w:tc>
                <w:tcPr>
                  <w:tcW w:w="2601"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color w:val="0000FF"/>
                      <w:kern w:val="2"/>
                      <w:sz w:val="21"/>
                      <w:szCs w:val="21"/>
                      <w:vertAlign w:val="baseline"/>
                      <w:lang w:val="en-US" w:eastAsia="zh-CN" w:bidi="ar-SA"/>
                    </w:rPr>
                  </w:pPr>
                  <w:r>
                    <w:rPr>
                      <w:rFonts w:hint="default" w:ascii="Times New Roman" w:hAnsi="Times New Roman" w:eastAsia="宋体" w:cs="Times New Roman"/>
                      <w:i w:val="0"/>
                      <w:iCs w:val="0"/>
                      <w:color w:val="0000FF"/>
                      <w:kern w:val="0"/>
                      <w:sz w:val="21"/>
                      <w:szCs w:val="21"/>
                      <w:u w:val="none"/>
                      <w:lang w:val="en-US" w:eastAsia="zh-CN" w:bidi="ar"/>
                    </w:rPr>
                    <w:t>有机废气</w:t>
                  </w:r>
                </w:p>
              </w:tc>
              <w:tc>
                <w:tcPr>
                  <w:tcW w:w="260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color w:val="0000FF"/>
                      <w:kern w:val="2"/>
                      <w:sz w:val="21"/>
                      <w:szCs w:val="21"/>
                      <w:vertAlign w:val="baseline"/>
                      <w:lang w:val="en-US" w:eastAsia="zh-CN" w:bidi="ar-SA"/>
                    </w:rPr>
                  </w:pPr>
                  <w:r>
                    <w:rPr>
                      <w:rFonts w:hint="eastAsia" w:cs="Times New Roman"/>
                      <w:color w:val="0000FF"/>
                      <w:sz w:val="21"/>
                      <w:szCs w:val="21"/>
                      <w:vertAlign w:val="baseline"/>
                      <w:lang w:val="en-US" w:eastAsia="zh-CN"/>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9"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color w:val="0000FF"/>
                      <w:kern w:val="2"/>
                      <w:sz w:val="21"/>
                      <w:szCs w:val="21"/>
                      <w:vertAlign w:val="baseline"/>
                      <w:lang w:val="en-US" w:eastAsia="zh-CN" w:bidi="ar-SA"/>
                    </w:rPr>
                  </w:pPr>
                  <w:r>
                    <w:rPr>
                      <w:rFonts w:hint="default" w:ascii="Times New Roman" w:hAnsi="Times New Roman" w:eastAsia="宋体" w:cs="Times New Roman"/>
                      <w:i w:val="0"/>
                      <w:iCs w:val="0"/>
                      <w:color w:val="0000FF"/>
                      <w:kern w:val="0"/>
                      <w:sz w:val="21"/>
                      <w:szCs w:val="21"/>
                      <w:u w:val="none"/>
                      <w:lang w:val="en-US" w:eastAsia="zh-CN" w:bidi="ar"/>
                    </w:rPr>
                    <w:t>其他助剂</w:t>
                  </w:r>
                </w:p>
              </w:tc>
              <w:tc>
                <w:tcPr>
                  <w:tcW w:w="1780" w:type="dxa"/>
                  <w:vAlign w:val="center"/>
                </w:tcPr>
                <w:p>
                  <w:pPr>
                    <w:spacing w:line="240" w:lineRule="auto"/>
                    <w:ind w:firstLine="0" w:firstLineChars="0"/>
                    <w:jc w:val="center"/>
                    <w:rPr>
                      <w:rFonts w:hint="default" w:ascii="Times New Roman" w:hAnsi="Times New Roman" w:eastAsia="宋体" w:cs="Times New Roman"/>
                      <w:color w:val="0000FF"/>
                      <w:kern w:val="2"/>
                      <w:sz w:val="21"/>
                      <w:szCs w:val="21"/>
                      <w:lang w:val="en-US" w:eastAsia="zh-CN" w:bidi="ar-SA"/>
                    </w:rPr>
                  </w:pPr>
                  <w:r>
                    <w:rPr>
                      <w:rFonts w:hint="eastAsia" w:cs="Times New Roman"/>
                      <w:color w:val="0000FF"/>
                      <w:sz w:val="21"/>
                      <w:szCs w:val="21"/>
                      <w:lang w:val="en-US" w:eastAsia="zh-CN"/>
                    </w:rPr>
                    <w:t>2000.568</w:t>
                  </w:r>
                </w:p>
              </w:tc>
              <w:tc>
                <w:tcPr>
                  <w:tcW w:w="2601"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cs="Times New Roman"/>
                      <w:color w:val="0000FF"/>
                      <w:sz w:val="21"/>
                      <w:szCs w:val="21"/>
                      <w:vertAlign w:val="baseline"/>
                      <w:lang w:val="en-US" w:eastAsia="zh-CN"/>
                    </w:rPr>
                  </w:pPr>
                </w:p>
              </w:tc>
              <w:tc>
                <w:tcPr>
                  <w:tcW w:w="260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cs="Times New Roman"/>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9"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cs="Times New Roman"/>
                      <w:color w:val="0000FF"/>
                      <w:sz w:val="21"/>
                      <w:szCs w:val="21"/>
                      <w:vertAlign w:val="baseline"/>
                      <w:lang w:val="en-US" w:eastAsia="zh-CN"/>
                    </w:rPr>
                  </w:pPr>
                  <w:r>
                    <w:rPr>
                      <w:rFonts w:hint="eastAsia" w:cs="Times New Roman"/>
                      <w:color w:val="0000FF"/>
                      <w:sz w:val="21"/>
                      <w:szCs w:val="21"/>
                      <w:vertAlign w:val="baseline"/>
                      <w:lang w:val="en-US" w:eastAsia="zh-CN"/>
                    </w:rPr>
                    <w:t>除尘灰</w:t>
                  </w:r>
                </w:p>
              </w:tc>
              <w:tc>
                <w:tcPr>
                  <w:tcW w:w="178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color w:val="0000FF"/>
                      <w:sz w:val="21"/>
                      <w:szCs w:val="21"/>
                      <w:lang w:val="en-US" w:eastAsia="zh-CN"/>
                    </w:rPr>
                  </w:pPr>
                  <w:r>
                    <w:rPr>
                      <w:rFonts w:hint="eastAsia" w:cs="Times New Roman"/>
                      <w:color w:val="0000FF"/>
                      <w:sz w:val="21"/>
                      <w:szCs w:val="21"/>
                      <w:lang w:val="en-US" w:eastAsia="zh-CN"/>
                    </w:rPr>
                    <w:t>34.64</w:t>
                  </w:r>
                </w:p>
              </w:tc>
              <w:tc>
                <w:tcPr>
                  <w:tcW w:w="2601"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color w:val="0000FF"/>
                      <w:kern w:val="2"/>
                      <w:sz w:val="21"/>
                      <w:szCs w:val="21"/>
                      <w:vertAlign w:val="baseline"/>
                      <w:lang w:val="en-US" w:eastAsia="zh-CN" w:bidi="ar-SA"/>
                    </w:rPr>
                  </w:pPr>
                </w:p>
              </w:tc>
              <w:tc>
                <w:tcPr>
                  <w:tcW w:w="2606" w:type="dxa"/>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top"/>
                    <w:rPr>
                      <w:rFonts w:hint="default" w:ascii="Times New Roman" w:hAnsi="Times New Roman" w:eastAsia="宋体" w:cs="Times New Roman"/>
                      <w:color w:val="0000FF"/>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9"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FF"/>
                      <w:sz w:val="21"/>
                      <w:szCs w:val="21"/>
                      <w:vertAlign w:val="baseline"/>
                      <w:lang w:val="en-US" w:eastAsia="zh-CN"/>
                    </w:rPr>
                  </w:pPr>
                  <w:r>
                    <w:rPr>
                      <w:rFonts w:hint="eastAsia" w:cs="Times New Roman"/>
                      <w:color w:val="0000FF"/>
                      <w:sz w:val="21"/>
                      <w:szCs w:val="21"/>
                      <w:vertAlign w:val="baseline"/>
                      <w:lang w:val="en-US" w:eastAsia="zh-CN"/>
                    </w:rPr>
                    <w:t>不合格品</w:t>
                  </w:r>
                </w:p>
              </w:tc>
              <w:tc>
                <w:tcPr>
                  <w:tcW w:w="178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FF"/>
                      <w:sz w:val="21"/>
                      <w:szCs w:val="21"/>
                      <w:vertAlign w:val="baseline"/>
                      <w:lang w:val="en-US" w:eastAsia="zh-CN"/>
                    </w:rPr>
                  </w:pPr>
                  <w:r>
                    <w:rPr>
                      <w:rFonts w:hint="eastAsia" w:cs="Times New Roman"/>
                      <w:color w:val="0000FF"/>
                      <w:sz w:val="21"/>
                      <w:szCs w:val="21"/>
                      <w:vertAlign w:val="baseline"/>
                      <w:lang w:val="en-US" w:eastAsia="zh-CN"/>
                    </w:rPr>
                    <w:t>100</w:t>
                  </w:r>
                </w:p>
              </w:tc>
              <w:tc>
                <w:tcPr>
                  <w:tcW w:w="260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21"/>
                      <w:szCs w:val="21"/>
                      <w:vertAlign w:val="baseline"/>
                      <w:lang w:val="en-US" w:eastAsia="zh-CN"/>
                    </w:rPr>
                  </w:pPr>
                </w:p>
              </w:tc>
              <w:tc>
                <w:tcPr>
                  <w:tcW w:w="260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29"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FF"/>
                      <w:kern w:val="2"/>
                      <w:sz w:val="21"/>
                      <w:szCs w:val="21"/>
                      <w:vertAlign w:val="baseline"/>
                      <w:lang w:val="en-US" w:eastAsia="zh-CN" w:bidi="ar-SA"/>
                    </w:rPr>
                  </w:pPr>
                  <w:r>
                    <w:rPr>
                      <w:rFonts w:hint="default" w:ascii="Times New Roman" w:hAnsi="Times New Roman" w:cs="Times New Roman"/>
                      <w:color w:val="0000FF"/>
                      <w:sz w:val="21"/>
                      <w:szCs w:val="21"/>
                      <w:vertAlign w:val="baseline"/>
                      <w:lang w:val="en-US" w:eastAsia="zh-CN"/>
                    </w:rPr>
                    <w:t>合计</w:t>
                  </w:r>
                </w:p>
              </w:tc>
              <w:tc>
                <w:tcPr>
                  <w:tcW w:w="178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0000FF"/>
                      <w:kern w:val="2"/>
                      <w:sz w:val="21"/>
                      <w:szCs w:val="21"/>
                      <w:vertAlign w:val="baseline"/>
                      <w:lang w:val="en-US" w:eastAsia="zh-CN" w:bidi="ar-SA"/>
                    </w:rPr>
                  </w:pPr>
                  <w:r>
                    <w:rPr>
                      <w:rFonts w:hint="eastAsia" w:cs="Times New Roman"/>
                      <w:color w:val="0000FF"/>
                      <w:sz w:val="21"/>
                      <w:szCs w:val="21"/>
                      <w:vertAlign w:val="baseline"/>
                      <w:lang w:val="en-US" w:eastAsia="zh-CN"/>
                    </w:rPr>
                    <w:t>20005.68</w:t>
                  </w:r>
                </w:p>
              </w:tc>
              <w:tc>
                <w:tcPr>
                  <w:tcW w:w="2601"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21"/>
                      <w:szCs w:val="21"/>
                      <w:vertAlign w:val="baseline"/>
                      <w:lang w:val="en-US" w:eastAsia="zh-CN"/>
                    </w:rPr>
                  </w:pPr>
                </w:p>
              </w:tc>
              <w:tc>
                <w:tcPr>
                  <w:tcW w:w="2606" w:type="dxa"/>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0000FF"/>
                      <w:sz w:val="21"/>
                      <w:szCs w:val="21"/>
                      <w:vertAlign w:val="baseline"/>
                      <w:lang w:val="en-US" w:eastAsia="zh-CN"/>
                    </w:rPr>
                  </w:pPr>
                  <w:r>
                    <w:rPr>
                      <w:rFonts w:hint="eastAsia" w:cs="Times New Roman"/>
                      <w:color w:val="0000FF"/>
                      <w:sz w:val="21"/>
                      <w:szCs w:val="21"/>
                      <w:vertAlign w:val="baseline"/>
                      <w:lang w:val="en-US" w:eastAsia="zh-CN"/>
                    </w:rPr>
                    <w:t>20005.68</w:t>
                  </w:r>
                </w:p>
              </w:tc>
            </w:tr>
          </w:tbl>
          <w:p>
            <w:pPr>
              <w:numPr>
                <w:ilvl w:val="0"/>
                <w:numId w:val="7"/>
              </w:numPr>
              <w:ind w:firstLine="480"/>
              <w:rPr>
                <w:rFonts w:hint="default" w:cs="Times New Roman"/>
                <w:color w:val="000000" w:themeColor="text1"/>
                <w:lang w:eastAsia="zh-CN"/>
                <w14:textFill>
                  <w14:solidFill>
                    <w14:schemeClr w14:val="tx1"/>
                  </w14:solidFill>
                </w14:textFill>
              </w:rPr>
            </w:pPr>
            <w:r>
              <w:rPr>
                <w:rFonts w:hint="default" w:cs="Times New Roman"/>
                <w:color w:val="000000" w:themeColor="text1"/>
                <w:lang w:eastAsia="zh-CN"/>
                <w14:textFill>
                  <w14:solidFill>
                    <w14:schemeClr w14:val="tx1"/>
                  </w14:solidFill>
                </w14:textFill>
              </w:rPr>
              <w:t>厂区总图布局</w:t>
            </w:r>
          </w:p>
          <w:p>
            <w:pPr>
              <w:ind w:firstLine="480"/>
              <w:jc w:val="left"/>
              <w:rPr>
                <w:rFonts w:hint="eastAsia" w:cs="Times New Roman"/>
                <w:color w:val="000000" w:themeColor="text1"/>
                <w:lang w:eastAsia="zh-CN"/>
                <w14:textFill>
                  <w14:solidFill>
                    <w14:schemeClr w14:val="tx1"/>
                  </w14:solidFill>
                </w14:textFill>
              </w:rPr>
            </w:pPr>
            <w:r>
              <w:rPr>
                <w:rFonts w:hint="eastAsia" w:cs="Times New Roman"/>
                <w:color w:val="000000" w:themeColor="text1"/>
                <w:lang w:eastAsia="zh-CN"/>
                <w14:textFill>
                  <w14:solidFill>
                    <w14:schemeClr w14:val="tx1"/>
                  </w14:solidFill>
                </w14:textFill>
              </w:rPr>
              <w:t>本项目租用厂房</w:t>
            </w:r>
            <w:r>
              <w:rPr>
                <w:rFonts w:hint="eastAsia" w:cs="Times New Roman"/>
                <w:color w:val="000000" w:themeColor="text1"/>
                <w:lang w:val="en-US" w:eastAsia="zh-CN"/>
                <w14:textFill>
                  <w14:solidFill>
                    <w14:schemeClr w14:val="tx1"/>
                  </w14:solidFill>
                </w14:textFill>
              </w:rPr>
              <w:t>1栋，厂区出入口位于厂房南侧，从西向东依次为上料混合、输送、造粒切粒、振动、成品，从北向南为生产车间、原料仓库。</w:t>
            </w:r>
            <w:r>
              <w:rPr>
                <w:rFonts w:hint="eastAsia" w:cs="Times New Roman"/>
                <w:color w:val="000000" w:themeColor="text1"/>
                <w:lang w:eastAsia="zh-CN"/>
                <w14:textFill>
                  <w14:solidFill>
                    <w14:schemeClr w14:val="tx1"/>
                  </w14:solidFill>
                </w14:textFill>
              </w:rPr>
              <w:t>厂区总平面布置图详见附图二。</w:t>
            </w:r>
          </w:p>
          <w:p>
            <w:pPr>
              <w:ind w:left="0" w:leftChars="0" w:firstLine="0" w:firstLineChars="0"/>
              <w:jc w:val="left"/>
              <w:rPr>
                <w:rFonts w:hint="default" w:ascii="Times New Roman" w:hAnsi="Times New Roman" w:cs="Times New Roman"/>
              </w:rPr>
            </w:pPr>
          </w:p>
        </w:tc>
      </w:tr>
    </w:tbl>
    <w:p>
      <w:pPr>
        <w:pStyle w:val="17"/>
        <w:jc w:val="center"/>
        <w:rPr>
          <w:rFonts w:hint="default" w:ascii="Times New Roman" w:hAnsi="Times New Roman" w:cs="Times New Roman"/>
          <w:snapToGrid w:val="0"/>
          <w:sz w:val="36"/>
          <w:szCs w:val="36"/>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tbl>
      <w:tblPr>
        <w:tblStyle w:val="20"/>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9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3" w:type="pct"/>
            <w:shd w:val="clear" w:color="auto" w:fill="auto"/>
            <w:vAlign w:val="center"/>
          </w:tcPr>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工</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艺</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流</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程</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和</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产</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排</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污</w:t>
            </w:r>
          </w:p>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szCs w:val="24"/>
              </w:rPr>
              <w:t>环</w:t>
            </w:r>
          </w:p>
          <w:p>
            <w:pPr>
              <w:pStyle w:val="17"/>
              <w:adjustRightInd w:val="0"/>
              <w:snapToGrid w:val="0"/>
              <w:spacing w:before="0" w:beforeAutospacing="0" w:after="0" w:afterAutospacing="0"/>
              <w:ind w:firstLine="0" w:firstLineChars="0"/>
              <w:jc w:val="center"/>
              <w:rPr>
                <w:rFonts w:hint="default" w:ascii="Times New Roman" w:hAnsi="Times New Roman" w:eastAsia="黑体" w:cs="Times New Roman"/>
                <w:snapToGrid w:val="0"/>
                <w:sz w:val="36"/>
                <w:szCs w:val="36"/>
              </w:rPr>
            </w:pPr>
            <w:r>
              <w:rPr>
                <w:rFonts w:hint="default" w:ascii="Times New Roman" w:hAnsi="Times New Roman" w:cs="Times New Roman"/>
                <w:szCs w:val="24"/>
              </w:rPr>
              <w:t>节</w:t>
            </w:r>
          </w:p>
        </w:tc>
        <w:tc>
          <w:tcPr>
            <w:tcW w:w="4616" w:type="pct"/>
            <w:shd w:val="clear" w:color="auto" w:fill="auto"/>
          </w:tcPr>
          <w:p>
            <w:pPr>
              <w:numPr>
                <w:ilvl w:val="0"/>
                <w:numId w:val="8"/>
              </w:numPr>
              <w:ind w:firstLine="480"/>
              <w:rPr>
                <w:rFonts w:hint="default" w:ascii="Times New Roman" w:hAnsi="Times New Roman" w:cs="Times New Roman"/>
              </w:rPr>
            </w:pPr>
            <w:r>
              <w:rPr>
                <w:rFonts w:hint="default" w:ascii="Times New Roman" w:hAnsi="Times New Roman" w:cs="Times New Roman"/>
              </w:rPr>
              <w:t>工艺流程</w:t>
            </w:r>
          </w:p>
          <w:p>
            <w:pPr>
              <w:pStyle w:val="17"/>
              <w:ind w:left="0" w:leftChars="0" w:firstLine="0" w:firstLineChars="0"/>
              <w:jc w:val="both"/>
              <w:rPr>
                <w:rFonts w:hint="default" w:ascii="Times New Roman" w:hAnsi="Times New Roman" w:cs="Times New Roman"/>
                <w:color w:val="auto"/>
                <w:kern w:val="2"/>
                <w:sz w:val="24"/>
                <w:szCs w:val="24"/>
                <w:lang w:val="en-US" w:eastAsia="zh-CN" w:bidi="ar-SA"/>
              </w:rPr>
            </w:pPr>
            <w:r>
              <w:rPr>
                <w:rFonts w:hint="default" w:ascii="Times New Roman" w:hAnsi="Times New Roman" w:cs="Times New Roman"/>
                <w:color w:val="auto"/>
                <w:kern w:val="2"/>
                <w:sz w:val="24"/>
                <w:szCs w:val="24"/>
                <w:lang w:val="en-US" w:eastAsia="zh-CN" w:bidi="ar-SA"/>
              </w:rPr>
              <w:pict>
                <v:shape id="_x0000_s1038" o:spid="_x0000_s1038" o:spt="75" type="#_x0000_t75" style="position:absolute;left:0pt;margin-left:-2.55pt;margin-top:5.65pt;height:69.4pt;width:439.4pt;z-index:251662336;mso-width-relative:page;mso-height-relative:page;" o:ole="t" filled="f" o:preferrelative="t" stroked="f" coordsize="21600,21600">
                  <v:path/>
                  <v:fill on="f" focussize="0,0"/>
                  <v:stroke on="f"/>
                  <v:imagedata r:id="rId21" cropright="8001f" o:title=""/>
                  <o:lock v:ext="edit" aspectratio="f"/>
                </v:shape>
                <o:OLEObject Type="Embed" ProgID="Visio.Drawing.15" ShapeID="_x0000_s1038" DrawAspect="Content" ObjectID="_1468075725" r:id="rId20">
                  <o:LockedField>false</o:LockedField>
                </o:OLEObject>
              </w:pict>
            </w:r>
          </w:p>
          <w:p>
            <w:pPr>
              <w:spacing w:line="240" w:lineRule="auto"/>
              <w:ind w:firstLine="0" w:firstLineChars="0"/>
              <w:jc w:val="center"/>
              <w:rPr>
                <w:rFonts w:hint="default" w:ascii="Times New Roman" w:hAnsi="Times New Roman" w:cs="Times New Roman"/>
                <w:b/>
                <w:bCs/>
                <w:sz w:val="21"/>
                <w:szCs w:val="21"/>
              </w:rPr>
            </w:pPr>
          </w:p>
          <w:p>
            <w:pPr>
              <w:spacing w:line="240" w:lineRule="auto"/>
              <w:ind w:firstLine="0" w:firstLineChars="0"/>
              <w:jc w:val="center"/>
              <w:rPr>
                <w:rFonts w:hint="default" w:ascii="Times New Roman" w:hAnsi="Times New Roman" w:cs="Times New Roman"/>
                <w:b/>
                <w:bCs/>
                <w:sz w:val="21"/>
                <w:szCs w:val="21"/>
              </w:rPr>
            </w:pPr>
          </w:p>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图2-</w:t>
            </w:r>
            <w:r>
              <w:rPr>
                <w:rFonts w:hint="eastAsia" w:cs="Times New Roman"/>
                <w:b/>
                <w:bCs/>
                <w:sz w:val="21"/>
                <w:szCs w:val="21"/>
                <w:lang w:val="en-US" w:eastAsia="zh-CN"/>
              </w:rPr>
              <w:t>1</w:t>
            </w:r>
            <w:r>
              <w:rPr>
                <w:rFonts w:hint="default" w:ascii="Times New Roman" w:hAnsi="Times New Roman" w:cs="Times New Roman"/>
                <w:b/>
                <w:bCs/>
                <w:sz w:val="21"/>
                <w:szCs w:val="21"/>
              </w:rPr>
              <w:t xml:space="preserve">  生产工艺流程图</w:t>
            </w:r>
          </w:p>
          <w:p>
            <w:pPr>
              <w:adjustRightInd w:val="0"/>
              <w:snapToGrid w:val="0"/>
              <w:ind w:firstLine="480"/>
              <w:rPr>
                <w:rFonts w:hint="eastAsia" w:ascii="Times New Roman" w:hAnsi="Times New Roman" w:eastAsia="宋体" w:cs="Times New Roman"/>
                <w:lang w:eastAsia="zh-CN"/>
              </w:rPr>
            </w:pPr>
            <w:r>
              <w:rPr>
                <w:rFonts w:hint="eastAsia" w:cs="Times New Roman"/>
                <w:lang w:eastAsia="zh-CN"/>
              </w:rPr>
              <w:t>工艺流程</w:t>
            </w:r>
            <w:r>
              <w:rPr>
                <w:rFonts w:hint="default" w:ascii="Times New Roman" w:hAnsi="Times New Roman" w:cs="Times New Roman"/>
              </w:rPr>
              <w:t>简述</w:t>
            </w:r>
            <w:r>
              <w:rPr>
                <w:rFonts w:hint="eastAsia" w:cs="Times New Roman"/>
                <w:lang w:eastAsia="zh-CN"/>
              </w:rPr>
              <w:t>：</w:t>
            </w:r>
          </w:p>
          <w:p>
            <w:pPr>
              <w:adjustRightInd w:val="0"/>
              <w:snapToGrid w:val="0"/>
              <w:ind w:firstLine="480"/>
              <w:rPr>
                <w:rFonts w:hint="eastAsia" w:cs="Times New Roman"/>
                <w:color w:val="0000FF"/>
                <w:lang w:val="en-US" w:eastAsia="zh-CN"/>
              </w:rPr>
            </w:pPr>
            <w:r>
              <w:rPr>
                <w:rFonts w:hint="eastAsia" w:cs="Times New Roman"/>
                <w:color w:val="0000FF"/>
                <w:lang w:val="en-US" w:eastAsia="zh-CN"/>
              </w:rPr>
              <w:t>上料混合：将外购的PE塑料、生物酶、碳酸钙、其他助剂按照40:5:45:10的比例通过上料机投入到混料机内进行混合，将设备密闭后开启电源将物料搅拌均匀；投料过程会产生粉尘废气。</w:t>
            </w:r>
          </w:p>
          <w:p>
            <w:pPr>
              <w:adjustRightInd w:val="0"/>
              <w:snapToGrid w:val="0"/>
              <w:ind w:firstLine="480"/>
              <w:rPr>
                <w:rFonts w:hint="default" w:ascii="Times New Roman" w:hAnsi="Times New Roman" w:eastAsia="宋体" w:cs="Times New Roman"/>
                <w:color w:val="0000FF"/>
                <w:lang w:val="en-US" w:eastAsia="zh-CN"/>
              </w:rPr>
            </w:pPr>
            <w:r>
              <w:rPr>
                <w:rFonts w:hint="eastAsia" w:cs="Times New Roman"/>
                <w:color w:val="0000FF"/>
                <w:lang w:val="en-US" w:eastAsia="zh-CN"/>
              </w:rPr>
              <w:t>熔融挤出：已混合后</w:t>
            </w:r>
            <w:r>
              <w:rPr>
                <w:rFonts w:hint="default" w:ascii="Times New Roman" w:hAnsi="Times New Roman" w:eastAsia="宋体" w:cs="Times New Roman"/>
                <w:color w:val="0000FF"/>
                <w:sz w:val="24"/>
                <w:szCs w:val="24"/>
                <w:lang w:val="en-US" w:eastAsia="zh-CN"/>
              </w:rPr>
              <w:t>的物料</w:t>
            </w:r>
            <w:r>
              <w:rPr>
                <w:rFonts w:hint="eastAsia" w:eastAsia="宋体" w:cs="Times New Roman"/>
                <w:color w:val="0000FF"/>
                <w:sz w:val="24"/>
                <w:szCs w:val="24"/>
                <w:lang w:val="en-US" w:eastAsia="zh-CN"/>
              </w:rPr>
              <w:t>通过计量喂料系统，按量连续加入电磁动态塑化挤出机中</w:t>
            </w:r>
            <w:r>
              <w:rPr>
                <w:rFonts w:hint="default" w:ascii="Times New Roman" w:hAnsi="Times New Roman" w:eastAsia="宋体" w:cs="Times New Roman"/>
                <w:color w:val="0000FF"/>
                <w:sz w:val="24"/>
                <w:szCs w:val="24"/>
                <w:lang w:val="en-US" w:eastAsia="zh-CN"/>
              </w:rPr>
              <w:t>，挤出机通过电加热将原料加热至200~250℃，熔融的原料</w:t>
            </w:r>
            <w:r>
              <w:rPr>
                <w:rFonts w:hint="eastAsia" w:eastAsia="宋体" w:cs="Times New Roman"/>
                <w:color w:val="0000FF"/>
                <w:sz w:val="24"/>
                <w:szCs w:val="24"/>
                <w:lang w:val="en-US" w:eastAsia="zh-CN"/>
              </w:rPr>
              <w:t>成</w:t>
            </w:r>
            <w:r>
              <w:rPr>
                <w:rFonts w:hint="default" w:ascii="Times New Roman" w:hAnsi="Times New Roman" w:eastAsia="宋体" w:cs="Times New Roman"/>
                <w:color w:val="0000FF"/>
                <w:sz w:val="24"/>
                <w:szCs w:val="24"/>
                <w:lang w:val="en-US" w:eastAsia="zh-CN"/>
              </w:rPr>
              <w:t>粘流态在一定压力下由螺旋杆输送到模具再成型，挤出成条状型塑料。挤出机的出口处会产生少量的有机废气</w:t>
            </w:r>
            <w:r>
              <w:rPr>
                <w:rFonts w:hint="eastAsia" w:cs="Times New Roman"/>
                <w:color w:val="0000FF"/>
                <w:lang w:val="en-US" w:eastAsia="zh-CN"/>
              </w:rPr>
              <w:t>。</w:t>
            </w:r>
          </w:p>
          <w:p>
            <w:pPr>
              <w:adjustRightInd w:val="0"/>
              <w:snapToGrid w:val="0"/>
              <w:ind w:firstLine="480"/>
              <w:rPr>
                <w:rFonts w:hint="default" w:cs="Times New Roman"/>
                <w:color w:val="0000FF"/>
                <w:lang w:val="en-US" w:eastAsia="zh-CN"/>
              </w:rPr>
            </w:pPr>
            <w:r>
              <w:rPr>
                <w:rFonts w:hint="eastAsia" w:cs="Times New Roman"/>
                <w:color w:val="0000FF"/>
                <w:lang w:val="en-US" w:eastAsia="zh-CN"/>
              </w:rPr>
              <w:t>冷却切粒：挤出物料由于挤出口定型模具处开始初定型，采用风冷方式进行冷却成型，制成连续长度的塑料制品。然后采用切粒机将成型后的塑料件切成一定规格的颗粒。冷却切粒过程不产生废气。</w:t>
            </w:r>
          </w:p>
          <w:p>
            <w:pPr>
              <w:adjustRightInd w:val="0"/>
              <w:snapToGrid w:val="0"/>
              <w:ind w:firstLine="480"/>
              <w:rPr>
                <w:rFonts w:hint="eastAsia" w:cs="Times New Roman"/>
                <w:color w:val="0000FF"/>
                <w:lang w:eastAsia="zh-CN"/>
              </w:rPr>
            </w:pPr>
            <w:r>
              <w:rPr>
                <w:rFonts w:hint="eastAsia" w:cs="Times New Roman"/>
                <w:color w:val="0000FF"/>
                <w:lang w:eastAsia="zh-CN"/>
              </w:rPr>
              <w:t>振动筛分：用振动筛对切粒好的塑料件进行筛选分级，经筛分后的塑料件经检验合格后送入成品储仓，自动称量包装成产品出产。振动筛分过程不会产生废气，检验过程产生不合格品。</w:t>
            </w:r>
          </w:p>
          <w:p>
            <w:pPr>
              <w:adjustRightInd w:val="0"/>
              <w:snapToGrid w:val="0"/>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2、主要污染工序</w:t>
            </w:r>
          </w:p>
          <w:p>
            <w:pPr>
              <w:adjustRightInd w:val="0"/>
              <w:snapToGrid w:val="0"/>
              <w:ind w:firstLine="480"/>
              <w:rPr>
                <w:rFonts w:hint="default" w:ascii="Times New Roman" w:hAnsi="Times New Roman" w:cs="Times New Roman"/>
              </w:rPr>
            </w:pPr>
            <w:r>
              <w:rPr>
                <w:rFonts w:hint="default" w:ascii="Times New Roman" w:hAnsi="Times New Roman" w:cs="Times New Roman"/>
              </w:rPr>
              <w:t>项目主要产污环节及污染因子见下表2-</w:t>
            </w:r>
            <w:r>
              <w:rPr>
                <w:rFonts w:hint="eastAsia" w:cs="Times New Roman"/>
                <w:lang w:val="en-US" w:eastAsia="zh-CN"/>
              </w:rPr>
              <w:t>7</w:t>
            </w:r>
            <w:r>
              <w:rPr>
                <w:rFonts w:hint="default" w:ascii="Times New Roman" w:hAnsi="Times New Roman" w:cs="Times New Roman"/>
              </w:rPr>
              <w:t>。</w:t>
            </w:r>
          </w:p>
          <w:p>
            <w:pPr>
              <w:pStyle w:val="26"/>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表2-</w:t>
            </w:r>
            <w:r>
              <w:rPr>
                <w:rFonts w:hint="eastAsia" w:ascii="Times New Roman" w:cs="Times New Roman"/>
                <w:b/>
                <w:bCs/>
                <w:sz w:val="21"/>
                <w:szCs w:val="21"/>
                <w:lang w:val="en-US" w:eastAsia="zh-CN"/>
              </w:rPr>
              <w:t>7</w:t>
            </w:r>
            <w:r>
              <w:rPr>
                <w:rFonts w:hint="default" w:ascii="Times New Roman" w:hAnsi="Times New Roman" w:cs="Times New Roman"/>
                <w:b/>
                <w:bCs/>
                <w:sz w:val="21"/>
                <w:szCs w:val="21"/>
              </w:rPr>
              <w:t xml:space="preserve">  项目主要产污环节及污染因子一览表</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35"/>
              <w:gridCol w:w="1988"/>
              <w:gridCol w:w="1581"/>
              <w:gridCol w:w="1914"/>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35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类别</w:t>
                  </w:r>
                </w:p>
              </w:tc>
              <w:tc>
                <w:tcPr>
                  <w:tcW w:w="1109"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名称</w:t>
                  </w:r>
                </w:p>
              </w:tc>
              <w:tc>
                <w:tcPr>
                  <w:tcW w:w="882"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污染源</w:t>
                  </w:r>
                </w:p>
              </w:tc>
              <w:tc>
                <w:tcPr>
                  <w:tcW w:w="1068"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产污环节</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jc w:val="center"/>
              </w:trPr>
              <w:tc>
                <w:tcPr>
                  <w:tcW w:w="35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kern w:val="0"/>
                      <w:sz w:val="21"/>
                      <w:szCs w:val="21"/>
                      <w:lang w:eastAsia="zh-CN"/>
                    </w:rPr>
                  </w:pPr>
                  <w:r>
                    <w:rPr>
                      <w:rFonts w:hint="eastAsia" w:cs="Times New Roman"/>
                      <w:b w:val="0"/>
                      <w:bCs w:val="0"/>
                      <w:kern w:val="0"/>
                      <w:sz w:val="21"/>
                      <w:szCs w:val="21"/>
                      <w:lang w:eastAsia="zh-CN"/>
                    </w:rPr>
                    <w:t>废水</w:t>
                  </w:r>
                </w:p>
              </w:tc>
              <w:tc>
                <w:tcPr>
                  <w:tcW w:w="1109"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kern w:val="0"/>
                      <w:sz w:val="21"/>
                      <w:szCs w:val="21"/>
                      <w:lang w:eastAsia="zh-CN"/>
                    </w:rPr>
                  </w:pPr>
                  <w:r>
                    <w:rPr>
                      <w:rFonts w:hint="eastAsia" w:cs="Times New Roman"/>
                      <w:b w:val="0"/>
                      <w:bCs w:val="0"/>
                      <w:kern w:val="0"/>
                      <w:sz w:val="21"/>
                      <w:szCs w:val="21"/>
                      <w:lang w:eastAsia="zh-CN"/>
                    </w:rPr>
                    <w:t>生活污水</w:t>
                  </w:r>
                </w:p>
              </w:tc>
              <w:tc>
                <w:tcPr>
                  <w:tcW w:w="882"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kern w:val="0"/>
                      <w:sz w:val="21"/>
                      <w:szCs w:val="21"/>
                      <w:lang w:eastAsia="zh-CN"/>
                    </w:rPr>
                  </w:pPr>
                  <w:r>
                    <w:rPr>
                      <w:rFonts w:hint="eastAsia" w:cs="Times New Roman"/>
                      <w:b w:val="0"/>
                      <w:bCs w:val="0"/>
                      <w:kern w:val="0"/>
                      <w:sz w:val="21"/>
                      <w:szCs w:val="21"/>
                      <w:lang w:eastAsia="zh-CN"/>
                    </w:rPr>
                    <w:t>厂房</w:t>
                  </w:r>
                </w:p>
              </w:tc>
              <w:tc>
                <w:tcPr>
                  <w:tcW w:w="1068"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b w:val="0"/>
                      <w:bCs w:val="0"/>
                      <w:kern w:val="0"/>
                      <w:sz w:val="21"/>
                      <w:szCs w:val="21"/>
                      <w:lang w:eastAsia="zh-CN"/>
                    </w:rPr>
                  </w:pPr>
                  <w:r>
                    <w:rPr>
                      <w:rFonts w:hint="eastAsia" w:cs="Times New Roman"/>
                      <w:b w:val="0"/>
                      <w:bCs w:val="0"/>
                      <w:kern w:val="0"/>
                      <w:sz w:val="21"/>
                      <w:szCs w:val="21"/>
                      <w:lang w:eastAsia="zh-CN"/>
                    </w:rPr>
                    <w:t>办公生活</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kern w:val="0"/>
                      <w:sz w:val="21"/>
                      <w:szCs w:val="21"/>
                      <w:lang w:val="en-US" w:eastAsia="zh-CN"/>
                    </w:rPr>
                  </w:pPr>
                  <w:r>
                    <w:rPr>
                      <w:rFonts w:hint="eastAsia" w:cs="Times New Roman"/>
                      <w:b w:val="0"/>
                      <w:bCs w:val="0"/>
                      <w:kern w:val="0"/>
                      <w:sz w:val="21"/>
                      <w:szCs w:val="21"/>
                      <w:lang w:val="en-US" w:eastAsia="zh-CN"/>
                    </w:rPr>
                    <w:t>COD、BOD</w:t>
                  </w:r>
                  <w:r>
                    <w:rPr>
                      <w:rFonts w:hint="eastAsia" w:cs="Times New Roman"/>
                      <w:b w:val="0"/>
                      <w:bCs w:val="0"/>
                      <w:kern w:val="0"/>
                      <w:sz w:val="21"/>
                      <w:szCs w:val="21"/>
                      <w:vertAlign w:val="subscript"/>
                      <w:lang w:val="en-US" w:eastAsia="zh-CN"/>
                    </w:rPr>
                    <w:t>5</w:t>
                  </w:r>
                  <w:r>
                    <w:rPr>
                      <w:rFonts w:hint="eastAsia" w:cs="Times New Roman"/>
                      <w:b w:val="0"/>
                      <w:bCs w:val="0"/>
                      <w:kern w:val="0"/>
                      <w:sz w:val="21"/>
                      <w:szCs w:val="21"/>
                      <w:lang w:val="en-US" w:eastAsia="zh-CN"/>
                    </w:rPr>
                    <w:t>、SS、NH</w:t>
                  </w:r>
                  <w:r>
                    <w:rPr>
                      <w:rFonts w:hint="eastAsia" w:cs="Times New Roman"/>
                      <w:b w:val="0"/>
                      <w:bCs w:val="0"/>
                      <w:kern w:val="0"/>
                      <w:sz w:val="21"/>
                      <w:szCs w:val="21"/>
                      <w:vertAlign w:val="subscript"/>
                      <w:lang w:val="en-US" w:eastAsia="zh-CN"/>
                    </w:rPr>
                    <w:t>3</w:t>
                  </w:r>
                  <w:r>
                    <w:rPr>
                      <w:rFonts w:hint="eastAsia" w:cs="Times New Roman"/>
                      <w:b w:val="0"/>
                      <w:bCs w:val="0"/>
                      <w:kern w:val="0"/>
                      <w:sz w:val="21"/>
                      <w:szCs w:val="21"/>
                      <w:lang w:val="en-US" w:eastAsia="zh-CN"/>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restar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废气</w:t>
                  </w: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混料废气</w:t>
                  </w:r>
                </w:p>
              </w:tc>
              <w:tc>
                <w:tcPr>
                  <w:tcW w:w="882"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上料混合</w:t>
                  </w:r>
                </w:p>
              </w:tc>
              <w:tc>
                <w:tcPr>
                  <w:tcW w:w="158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TSP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挤出废气</w:t>
                  </w:r>
                </w:p>
              </w:tc>
              <w:tc>
                <w:tcPr>
                  <w:tcW w:w="882"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kern w:val="2"/>
                      <w:sz w:val="21"/>
                      <w:szCs w:val="21"/>
                      <w:lang w:val="en-US" w:eastAsia="zh-CN" w:bidi="ar-SA"/>
                    </w:rPr>
                  </w:pPr>
                  <w:r>
                    <w:rPr>
                      <w:rFonts w:hint="eastAsia" w:cs="Times New Roman"/>
                      <w:kern w:val="2"/>
                      <w:sz w:val="21"/>
                      <w:szCs w:val="21"/>
                      <w:lang w:val="en-US" w:eastAsia="zh-CN" w:bidi="ar-SA"/>
                    </w:rPr>
                    <w:t>热熔挤出</w:t>
                  </w:r>
                </w:p>
              </w:tc>
              <w:tc>
                <w:tcPr>
                  <w:tcW w:w="158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TVOC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restar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固废</w:t>
                  </w: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集尘灰</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废气处理</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不合格品</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检验</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废布袋</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废气处理</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废布袋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废活性炭</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废气处理</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vMerge w:val="continue"/>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废UV灯管</w:t>
                  </w:r>
                </w:p>
              </w:tc>
              <w:tc>
                <w:tcPr>
                  <w:tcW w:w="882" w:type="pct"/>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厂房</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废气处理</w:t>
                  </w:r>
                </w:p>
              </w:tc>
              <w:tc>
                <w:tcPr>
                  <w:tcW w:w="1584" w:type="pct"/>
                  <w:tcMar>
                    <w:left w:w="57" w:type="dxa"/>
                    <w:right w:w="57"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废UV灯管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噪声</w:t>
                  </w:r>
                </w:p>
              </w:tc>
              <w:tc>
                <w:tcPr>
                  <w:tcW w:w="1109"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设备运行噪声</w:t>
                  </w:r>
                </w:p>
              </w:tc>
              <w:tc>
                <w:tcPr>
                  <w:tcW w:w="882"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生产车间</w:t>
                  </w:r>
                </w:p>
              </w:tc>
              <w:tc>
                <w:tcPr>
                  <w:tcW w:w="1068"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设备</w:t>
                  </w:r>
                </w:p>
              </w:tc>
              <w:tc>
                <w:tcPr>
                  <w:tcW w:w="1584" w:type="pct"/>
                  <w:tcMar>
                    <w:left w:w="57" w:type="dxa"/>
                    <w:right w:w="57" w:type="dxa"/>
                  </w:tcMar>
                  <w:vAlign w:val="center"/>
                </w:tcPr>
                <w:p>
                  <w:pPr>
                    <w:keepNext w:val="0"/>
                    <w:keepLines w:val="0"/>
                    <w:pageBreakBefore w:val="0"/>
                    <w:tabs>
                      <w:tab w:val="left" w:pos="1080"/>
                    </w:tabs>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w:t>
                  </w:r>
                </w:p>
              </w:tc>
            </w:tr>
          </w:tbl>
          <w:p>
            <w:pPr>
              <w:adjustRightInd w:val="0"/>
              <w:snapToGrid w:val="0"/>
              <w:ind w:firstLine="480"/>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3" w:type="pct"/>
            <w:shd w:val="clear" w:color="auto" w:fill="auto"/>
            <w:vAlign w:val="center"/>
          </w:tcPr>
          <w:p>
            <w:pPr>
              <w:pStyle w:val="17"/>
              <w:adjustRightInd w:val="0"/>
              <w:snapToGrid w:val="0"/>
              <w:spacing w:before="0" w:beforeAutospacing="0" w:after="0" w:afterAutospacing="0"/>
              <w:ind w:firstLine="0" w:firstLineChars="0"/>
              <w:jc w:val="center"/>
              <w:rPr>
                <w:rFonts w:hint="default" w:ascii="Times New Roman" w:hAnsi="Times New Roman" w:cs="Times New Roman"/>
                <w:szCs w:val="24"/>
              </w:rPr>
            </w:pPr>
            <w:r>
              <w:rPr>
                <w:rFonts w:hint="default" w:ascii="Times New Roman" w:hAnsi="Times New Roman" w:cs="Times New Roman"/>
                <w:bCs/>
                <w:kern w:val="2"/>
                <w:szCs w:val="24"/>
              </w:rPr>
              <w:t>与项目有关的原有环境污染问题</w:t>
            </w:r>
          </w:p>
        </w:tc>
        <w:tc>
          <w:tcPr>
            <w:tcW w:w="4616" w:type="pct"/>
            <w:shd w:val="clear" w:color="auto" w:fill="auto"/>
            <w:vAlign w:val="top"/>
          </w:tcPr>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440" w:lineRule="atLeast"/>
              <w:ind w:firstLine="480" w:firstLineChars="200"/>
              <w:textAlignment w:val="auto"/>
              <w:rPr>
                <w:rFonts w:hint="eastAsia"/>
                <w:color w:val="0000FF"/>
                <w:sz w:val="24"/>
                <w:szCs w:val="24"/>
                <w:lang w:val="en-US" w:eastAsia="zh-CN"/>
              </w:rPr>
            </w:pPr>
            <w:r>
              <w:rPr>
                <w:rFonts w:hint="eastAsia"/>
                <w:color w:val="0000FF"/>
                <w:sz w:val="24"/>
                <w:szCs w:val="24"/>
                <w:lang w:val="en-US" w:eastAsia="zh-CN"/>
              </w:rPr>
              <w:t>本项目为新建项目，系租赁江西半球家用品实业有限公司闲置厂房作为生产车间。江西半球家用品实业有限公司于2008年4月30日取得上饶市婺源生态环境局（原婺源县环保局）以婺环评字[2008]4号对《江西半球家用品实业有限公司年产30万件套家用品生产线项目环境影响报告表》的批复，并于2012年5月4号取得该项目的验收批复（婺环评字[2012]6号）。</w:t>
            </w:r>
          </w:p>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440" w:lineRule="atLeast"/>
              <w:ind w:firstLine="480" w:firstLineChars="200"/>
              <w:textAlignment w:val="auto"/>
              <w:rPr>
                <w:rFonts w:hint="eastAsia"/>
                <w:color w:val="0000FF"/>
                <w:sz w:val="24"/>
                <w:szCs w:val="24"/>
                <w:lang w:val="en-US" w:eastAsia="zh-CN"/>
              </w:rPr>
            </w:pPr>
            <w:r>
              <w:rPr>
                <w:rFonts w:hint="eastAsia"/>
                <w:color w:val="0000FF"/>
                <w:sz w:val="24"/>
                <w:szCs w:val="24"/>
                <w:lang w:val="en-US" w:eastAsia="zh-CN"/>
              </w:rPr>
              <w:t>江西半球家用品实业有限公司位于江西省上饶市婺源县工业园区金庸大道99号，是一家家用纺织品、针织品、箱包、旅游休闲用品等生产加工企业。该企业</w:t>
            </w:r>
            <w:r>
              <w:rPr>
                <w:rFonts w:hint="eastAsia" w:hAnsi="宋体"/>
                <w:color w:val="0000FF"/>
                <w:sz w:val="24"/>
              </w:rPr>
              <w:t>利用面料经过裁剪、缝制、整烫等工序制得家用布艺品</w:t>
            </w:r>
            <w:r>
              <w:rPr>
                <w:rFonts w:hint="eastAsia"/>
                <w:color w:val="0000FF"/>
                <w:sz w:val="24"/>
                <w:szCs w:val="24"/>
                <w:lang w:val="en-US" w:eastAsia="zh-CN"/>
              </w:rPr>
              <w:t>，在运营期间产生的污染主要为</w:t>
            </w:r>
            <w:r>
              <w:rPr>
                <w:rFonts w:hint="eastAsia" w:hAnsi="宋体"/>
                <w:color w:val="0000FF"/>
                <w:sz w:val="24"/>
              </w:rPr>
              <w:t>生活污水、固废</w:t>
            </w:r>
            <w:r>
              <w:rPr>
                <w:rFonts w:hint="eastAsia" w:hAnsi="宋体"/>
                <w:color w:val="0000FF"/>
                <w:sz w:val="24"/>
                <w:lang w:eastAsia="zh-CN"/>
              </w:rPr>
              <w:t>（生活垃圾和边角料）</w:t>
            </w:r>
            <w:r>
              <w:rPr>
                <w:rFonts w:hint="eastAsia" w:hAnsi="宋体"/>
                <w:color w:val="0000FF"/>
                <w:sz w:val="24"/>
              </w:rPr>
              <w:t>和噪声、大气污染</w:t>
            </w:r>
            <w:r>
              <w:rPr>
                <w:rFonts w:hint="eastAsia" w:hAnsi="宋体"/>
                <w:color w:val="0000FF"/>
                <w:sz w:val="24"/>
                <w:lang w:eastAsia="zh-CN"/>
              </w:rPr>
              <w:t>（食堂油烟）</w:t>
            </w:r>
            <w:r>
              <w:rPr>
                <w:rFonts w:hint="eastAsia"/>
                <w:color w:val="0000FF"/>
                <w:sz w:val="24"/>
                <w:szCs w:val="24"/>
                <w:lang w:val="en-US" w:eastAsia="zh-CN"/>
              </w:rPr>
              <w:t>。本项目租用的厂房原为仓库，截止项目技术员现场踏勘，该厂房已停止生产使用，为空置状态，无任何设备及污染存在，因此，项目不存在原有污染情况。</w:t>
            </w:r>
          </w:p>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440" w:lineRule="atLeast"/>
              <w:ind w:firstLine="480" w:firstLineChars="200"/>
              <w:textAlignment w:val="auto"/>
              <w:rPr>
                <w:rFonts w:hint="eastAsia"/>
                <w:color w:val="0000FF"/>
                <w:sz w:val="24"/>
                <w:szCs w:val="24"/>
                <w:lang w:val="en-US" w:eastAsia="zh-CN"/>
              </w:rPr>
            </w:pPr>
            <w:r>
              <w:rPr>
                <w:rFonts w:hint="eastAsia"/>
                <w:color w:val="0000FF"/>
                <w:sz w:val="24"/>
                <w:szCs w:val="24"/>
                <w:lang w:val="en-US" w:eastAsia="zh-CN"/>
              </w:rPr>
              <w:t>本项目除供水、供电依托江西半球家用品实业有限公司，环保工程除排污口依托江西半球家用品实业有限公司（在汇入总排口前设检查口，划分环保责任），其他工程均不依托。由本项目引起的环保问题，责任由本项目承担。</w:t>
            </w:r>
          </w:p>
          <w:tbl>
            <w:tblPr>
              <w:tblStyle w:val="21"/>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82"/>
              <w:gridCol w:w="4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82" w:type="dxa"/>
                </w:tcPr>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eastAsia"/>
                      <w:color w:val="0000FF"/>
                      <w:sz w:val="21"/>
                      <w:szCs w:val="21"/>
                      <w:vertAlign w:val="baseline"/>
                      <w:lang w:val="en-US" w:eastAsia="zh-CN"/>
                    </w:rPr>
                  </w:pPr>
                  <w:r>
                    <w:rPr>
                      <w:rFonts w:hint="eastAsia"/>
                      <w:color w:val="0000FF"/>
                      <w:sz w:val="21"/>
                      <w:szCs w:val="21"/>
                      <w:vertAlign w:val="baseline"/>
                      <w:lang w:val="en-US" w:eastAsia="zh-CN"/>
                    </w:rPr>
                    <w:drawing>
                      <wp:inline distT="0" distB="0" distL="114300" distR="114300">
                        <wp:extent cx="2697480" cy="2023745"/>
                        <wp:effectExtent l="0" t="0" r="7620" b="14605"/>
                        <wp:docPr id="8" name="图片 8" descr="856d03c479423afef426abc1b24cf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56d03c479423afef426abc1b24cfc2"/>
                                <pic:cNvPicPr>
                                  <a:picLocks noChangeAspect="1"/>
                                </pic:cNvPicPr>
                              </pic:nvPicPr>
                              <pic:blipFill>
                                <a:blip r:embed="rId22"/>
                                <a:stretch>
                                  <a:fillRect/>
                                </a:stretch>
                              </pic:blipFill>
                              <pic:spPr>
                                <a:xfrm>
                                  <a:off x="0" y="0"/>
                                  <a:ext cx="2697480" cy="2023745"/>
                                </a:xfrm>
                                <a:prstGeom prst="rect">
                                  <a:avLst/>
                                </a:prstGeom>
                              </pic:spPr>
                            </pic:pic>
                          </a:graphicData>
                        </a:graphic>
                      </wp:inline>
                    </w:drawing>
                  </w:r>
                </w:p>
              </w:tc>
              <w:tc>
                <w:tcPr>
                  <w:tcW w:w="4482" w:type="dxa"/>
                </w:tcPr>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eastAsia"/>
                      <w:color w:val="0000FF"/>
                      <w:sz w:val="21"/>
                      <w:szCs w:val="21"/>
                      <w:vertAlign w:val="baseline"/>
                      <w:lang w:val="en-US" w:eastAsia="zh-CN"/>
                    </w:rPr>
                  </w:pPr>
                  <w:r>
                    <w:rPr>
                      <w:rFonts w:hint="eastAsia"/>
                      <w:color w:val="0000FF"/>
                      <w:sz w:val="21"/>
                      <w:szCs w:val="21"/>
                      <w:vertAlign w:val="baseline"/>
                      <w:lang w:val="en-US" w:eastAsia="zh-CN"/>
                    </w:rPr>
                    <w:drawing>
                      <wp:inline distT="0" distB="0" distL="114300" distR="114300">
                        <wp:extent cx="2697480" cy="2023745"/>
                        <wp:effectExtent l="0" t="0" r="7620" b="14605"/>
                        <wp:docPr id="9" name="图片 9" descr="18c87a08669d55454d961d9605e2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8c87a08669d55454d961d9605e2a50"/>
                                <pic:cNvPicPr>
                                  <a:picLocks noChangeAspect="1"/>
                                </pic:cNvPicPr>
                              </pic:nvPicPr>
                              <pic:blipFill>
                                <a:blip r:embed="rId23"/>
                                <a:stretch>
                                  <a:fillRect/>
                                </a:stretch>
                              </pic:blipFill>
                              <pic:spPr>
                                <a:xfrm>
                                  <a:off x="0" y="0"/>
                                  <a:ext cx="2697480" cy="202374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964" w:type="dxa"/>
                  <w:gridSpan w:val="2"/>
                </w:tcPr>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auto"/>
                    <w:rPr>
                      <w:rFonts w:hint="default"/>
                      <w:color w:val="0000FF"/>
                      <w:sz w:val="21"/>
                      <w:szCs w:val="21"/>
                      <w:vertAlign w:val="baseline"/>
                      <w:lang w:val="en-US" w:eastAsia="zh-CN"/>
                    </w:rPr>
                  </w:pPr>
                  <w:r>
                    <w:rPr>
                      <w:rFonts w:hint="eastAsia"/>
                      <w:color w:val="0000FF"/>
                      <w:sz w:val="21"/>
                      <w:szCs w:val="21"/>
                      <w:vertAlign w:val="baseline"/>
                      <w:lang w:val="en-US" w:eastAsia="zh-CN"/>
                    </w:rPr>
                    <w:t>厂房内部照片</w:t>
                  </w:r>
                </w:p>
              </w:tc>
            </w:tr>
          </w:tbl>
          <w:p>
            <w:pPr>
              <w:pStyle w:val="19"/>
              <w:keepNext w:val="0"/>
              <w:keepLines w:val="0"/>
              <w:pageBreakBefore w:val="0"/>
              <w:widowControl w:val="0"/>
              <w:numPr>
                <w:ilvl w:val="0"/>
                <w:numId w:val="0"/>
              </w:numPr>
              <w:kinsoku/>
              <w:wordWrap/>
              <w:overflowPunct/>
              <w:topLinePunct w:val="0"/>
              <w:autoSpaceDE/>
              <w:autoSpaceDN/>
              <w:bidi w:val="0"/>
              <w:adjustRightInd/>
              <w:snapToGrid/>
              <w:spacing w:after="0" w:line="440" w:lineRule="atLeast"/>
              <w:ind w:firstLine="420" w:firstLineChars="200"/>
              <w:textAlignment w:val="auto"/>
              <w:rPr>
                <w:rFonts w:hint="default"/>
                <w:lang w:val="en-US" w:eastAsia="zh-CN"/>
              </w:rPr>
            </w:pPr>
          </w:p>
        </w:tc>
      </w:tr>
    </w:tbl>
    <w:p>
      <w:pPr>
        <w:pStyle w:val="17"/>
        <w:jc w:val="center"/>
        <w:rPr>
          <w:rFonts w:hint="default" w:ascii="Times New Roman" w:hAnsi="Times New Roman" w:eastAsia="黑体" w:cs="Times New Roman"/>
          <w:snapToGrid w:val="0"/>
          <w:sz w:val="36"/>
          <w:szCs w:val="36"/>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7"/>
        <w:ind w:firstLine="600"/>
        <w:jc w:val="center"/>
        <w:outlineLvl w:val="0"/>
        <w:rPr>
          <w:rFonts w:hint="default" w:ascii="Times New Roman" w:hAnsi="Times New Roman" w:eastAsia="黑体" w:cs="Times New Roman"/>
          <w:snapToGrid w:val="0"/>
          <w:sz w:val="30"/>
          <w:szCs w:val="30"/>
        </w:rPr>
      </w:pPr>
      <w:bookmarkStart w:id="6" w:name="_Toc71538798"/>
      <w:r>
        <w:rPr>
          <w:rFonts w:hint="default" w:ascii="Times New Roman" w:hAnsi="Times New Roman" w:eastAsia="黑体" w:cs="Times New Roman"/>
          <w:snapToGrid w:val="0"/>
          <w:sz w:val="30"/>
          <w:szCs w:val="30"/>
        </w:rPr>
        <w:t>三、区域环境质量现状、环境保护目标及评价标准</w:t>
      </w:r>
      <w:bookmarkEnd w:id="6"/>
    </w:p>
    <w:tbl>
      <w:tblPr>
        <w:tblStyle w:val="20"/>
        <w:tblW w:w="499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94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区</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域</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环</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境</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质</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量</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现</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状</w:t>
            </w:r>
          </w:p>
        </w:tc>
        <w:tc>
          <w:tcPr>
            <w:tcW w:w="4734" w:type="pct"/>
            <w:vAlign w:val="center"/>
          </w:tcPr>
          <w:p>
            <w:pPr>
              <w:numPr>
                <w:ilvl w:val="0"/>
                <w:numId w:val="9"/>
              </w:numPr>
              <w:adjustRightInd w:val="0"/>
              <w:snapToGrid w:val="0"/>
              <w:ind w:firstLine="480"/>
              <w:rPr>
                <w:rFonts w:hint="default" w:ascii="Times New Roman" w:hAnsi="Times New Roman" w:cs="Times New Roman"/>
              </w:rPr>
            </w:pPr>
            <w:r>
              <w:rPr>
                <w:rFonts w:hint="default" w:ascii="Times New Roman" w:hAnsi="Times New Roman" w:cs="Times New Roman"/>
              </w:rPr>
              <w:t>大气环境质量现状</w:t>
            </w:r>
          </w:p>
          <w:p>
            <w:pPr>
              <w:snapToGrid w:val="0"/>
              <w:ind w:firstLine="480"/>
              <w:rPr>
                <w:rFonts w:hint="default" w:ascii="Times New Roman" w:hAnsi="Times New Roman" w:cs="Times New Roman"/>
              </w:rPr>
            </w:pPr>
            <w:r>
              <w:rPr>
                <w:rFonts w:hint="default" w:ascii="Times New Roman" w:hAnsi="Times New Roman" w:cs="Times New Roman"/>
              </w:rPr>
              <w:t>（1）环境功能区</w:t>
            </w:r>
          </w:p>
          <w:p>
            <w:pPr>
              <w:snapToGrid w:val="0"/>
              <w:ind w:firstLine="480"/>
              <w:rPr>
                <w:rFonts w:hint="default" w:ascii="Times New Roman" w:hAnsi="Times New Roman" w:cs="Times New Roman"/>
              </w:rPr>
            </w:pPr>
            <w:r>
              <w:rPr>
                <w:rFonts w:hint="default" w:ascii="Times New Roman" w:hAnsi="Times New Roman" w:cs="Times New Roman"/>
              </w:rPr>
              <w:t>根据当地环境空气功能区划，项目所在地环境空气为二类功能区，空气质量标准执行《环境空气质量标准》（GB3095-2012）二级标准及2018年修改单中的二级标准。</w:t>
            </w:r>
          </w:p>
          <w:p>
            <w:pPr>
              <w:snapToGrid w:val="0"/>
              <w:ind w:firstLine="480"/>
              <w:rPr>
                <w:rFonts w:hint="default" w:ascii="Times New Roman" w:hAnsi="Times New Roman" w:cs="Times New Roman"/>
              </w:rPr>
            </w:pPr>
            <w:r>
              <w:rPr>
                <w:rFonts w:hint="default" w:ascii="Times New Roman" w:hAnsi="Times New Roman" w:cs="Times New Roman"/>
              </w:rPr>
              <w:t>（2）基本污染物环境质量现状数据</w:t>
            </w:r>
          </w:p>
          <w:p>
            <w:pPr>
              <w:pStyle w:val="47"/>
              <w:spacing w:line="440" w:lineRule="exact"/>
              <w:jc w:val="both"/>
              <w:rPr>
                <w:rFonts w:hint="default" w:ascii="Times New Roman" w:hAnsi="Times New Roman" w:cs="Times New Roman"/>
                <w:color w:val="000000"/>
              </w:rPr>
            </w:pPr>
            <w:r>
              <w:rPr>
                <w:rFonts w:hint="default" w:ascii="Times New Roman" w:hAnsi="Times New Roman" w:cs="Times New Roman"/>
                <w:color w:val="000000"/>
              </w:rPr>
              <w:t>本项目位于</w:t>
            </w:r>
            <w:r>
              <w:rPr>
                <w:rFonts w:hint="eastAsia" w:cs="Times New Roman"/>
                <w:color w:val="000000" w:themeColor="text1"/>
                <w:lang w:eastAsia="zh-CN"/>
                <w14:textFill>
                  <w14:solidFill>
                    <w14:schemeClr w14:val="tx1"/>
                  </w14:solidFill>
                </w14:textFill>
              </w:rPr>
              <w:t>江西省上饶市婺源县</w:t>
            </w:r>
            <w:r>
              <w:rPr>
                <w:rFonts w:hint="default" w:ascii="Times New Roman" w:hAnsi="Times New Roman" w:cs="Times New Roman"/>
                <w:color w:val="000000"/>
              </w:rPr>
              <w:t>，为环境空气质量二类区，执行《环境空气质量标准》（GB3095-2012）及修改单中的二级标准。为了解建设项目所在地环境空气质量现状，本项目所在区域基本污染物（PM</w:t>
            </w:r>
            <w:r>
              <w:rPr>
                <w:rFonts w:hint="default" w:ascii="Times New Roman" w:hAnsi="Times New Roman" w:cs="Times New Roman"/>
                <w:color w:val="000000"/>
                <w:vertAlign w:val="subscript"/>
              </w:rPr>
              <w:t>2.5</w:t>
            </w:r>
            <w:r>
              <w:rPr>
                <w:rFonts w:hint="default" w:ascii="Times New Roman" w:hAnsi="Times New Roman" w:cs="Times New Roman"/>
                <w:color w:val="000000"/>
              </w:rPr>
              <w:t>、PM</w:t>
            </w:r>
            <w:r>
              <w:rPr>
                <w:rFonts w:hint="default" w:ascii="Times New Roman" w:hAnsi="Times New Roman" w:cs="Times New Roman"/>
                <w:color w:val="000000"/>
                <w:vertAlign w:val="subscript"/>
              </w:rPr>
              <w:t>10</w:t>
            </w:r>
            <w:r>
              <w:rPr>
                <w:rFonts w:hint="default" w:ascii="Times New Roman" w:hAnsi="Times New Roman" w:cs="Times New Roman"/>
                <w:color w:val="000000"/>
              </w:rPr>
              <w:t>、NO</w:t>
            </w:r>
            <w:r>
              <w:rPr>
                <w:rFonts w:hint="default" w:ascii="Times New Roman" w:hAnsi="Times New Roman" w:cs="Times New Roman"/>
                <w:color w:val="000000"/>
                <w:vertAlign w:val="subscript"/>
              </w:rPr>
              <w:t>2</w:t>
            </w:r>
            <w:r>
              <w:rPr>
                <w:rFonts w:hint="default" w:ascii="Times New Roman" w:hAnsi="Times New Roman" w:cs="Times New Roman"/>
                <w:color w:val="000000"/>
              </w:rPr>
              <w:t>、SO</w:t>
            </w:r>
            <w:r>
              <w:rPr>
                <w:rFonts w:hint="default" w:ascii="Times New Roman" w:hAnsi="Times New Roman" w:cs="Times New Roman"/>
                <w:color w:val="000000"/>
                <w:vertAlign w:val="subscript"/>
              </w:rPr>
              <w:t>2</w:t>
            </w:r>
            <w:r>
              <w:rPr>
                <w:rFonts w:hint="default" w:ascii="Times New Roman" w:hAnsi="Times New Roman" w:cs="Times New Roman"/>
                <w:color w:val="000000"/>
              </w:rPr>
              <w:t>、CO、O</w:t>
            </w:r>
            <w:r>
              <w:rPr>
                <w:rFonts w:hint="default" w:ascii="Times New Roman" w:hAnsi="Times New Roman" w:cs="Times New Roman"/>
                <w:color w:val="000000"/>
                <w:vertAlign w:val="subscript"/>
              </w:rPr>
              <w:t>3</w:t>
            </w:r>
            <w:r>
              <w:rPr>
                <w:rFonts w:hint="default" w:ascii="Times New Roman" w:hAnsi="Times New Roman" w:cs="Times New Roman"/>
                <w:color w:val="000000"/>
              </w:rPr>
              <w:t>）现状数据采用上饶市生态环境局公布的《上饶市环境质量月报》（202</w:t>
            </w:r>
            <w:r>
              <w:rPr>
                <w:rFonts w:hint="eastAsia" w:cs="Times New Roman"/>
                <w:color w:val="000000"/>
                <w:lang w:val="en-US" w:eastAsia="zh-CN"/>
              </w:rPr>
              <w:t>1</w:t>
            </w:r>
            <w:r>
              <w:rPr>
                <w:rFonts w:hint="default" w:ascii="Times New Roman" w:hAnsi="Times New Roman" w:cs="Times New Roman"/>
                <w:color w:val="000000"/>
              </w:rPr>
              <w:t>年1月~1</w:t>
            </w:r>
            <w:r>
              <w:rPr>
                <w:rFonts w:hint="eastAsia" w:cs="Times New Roman"/>
                <w:color w:val="000000"/>
                <w:lang w:val="en-US" w:eastAsia="zh-CN"/>
              </w:rPr>
              <w:t>2</w:t>
            </w:r>
            <w:r>
              <w:rPr>
                <w:rFonts w:hint="default" w:ascii="Times New Roman" w:hAnsi="Times New Roman" w:cs="Times New Roman"/>
                <w:color w:val="000000"/>
              </w:rPr>
              <w:t>月）中</w:t>
            </w:r>
            <w:r>
              <w:rPr>
                <w:rFonts w:hint="eastAsia" w:cs="Times New Roman"/>
                <w:color w:val="auto"/>
                <w:sz w:val="24"/>
                <w:szCs w:val="24"/>
                <w:shd w:val="clear" w:color="auto" w:fill="auto"/>
                <w:lang w:eastAsia="zh-CN"/>
              </w:rPr>
              <w:t>婺源县</w:t>
            </w:r>
            <w:r>
              <w:rPr>
                <w:rFonts w:hint="default" w:ascii="Times New Roman" w:hAnsi="Times New Roman" w:cs="Times New Roman"/>
                <w:color w:val="000000"/>
              </w:rPr>
              <w:t>的环境空气污染物基本项目监测数据，项目所在地大气基本污染物达标情况见下表。</w:t>
            </w:r>
          </w:p>
          <w:p>
            <w:pPr>
              <w:pStyle w:val="48"/>
              <w:tabs>
                <w:tab w:val="left" w:pos="6105"/>
              </w:tabs>
              <w:spacing w:before="0" w:line="240" w:lineRule="auto"/>
              <w:ind w:firstLine="0" w:firstLineChars="0"/>
              <w:jc w:val="center"/>
              <w:outlineLvl w:val="4"/>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表3-1  基本污染物环境质量现状表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3814"/>
              <w:gridCol w:w="1250"/>
              <w:gridCol w:w="1051"/>
              <w:gridCol w:w="1105"/>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污染物</w:t>
                  </w:r>
                </w:p>
              </w:tc>
              <w:tc>
                <w:tcPr>
                  <w:tcW w:w="2071"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评价指标</w:t>
                  </w:r>
                </w:p>
              </w:tc>
              <w:tc>
                <w:tcPr>
                  <w:tcW w:w="679"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现状浓度</w:t>
                  </w:r>
                  <w:r>
                    <w:rPr>
                      <w:rFonts w:hint="default" w:ascii="Times New Roman" w:hAnsi="Times New Roman" w:cs="Times New Roman"/>
                      <w:b/>
                      <w:bCs/>
                      <w:color w:val="000000"/>
                      <w:sz w:val="21"/>
                      <w:szCs w:val="21"/>
                    </w:rPr>
                    <w:t>µg/m</w:t>
                  </w:r>
                  <w:r>
                    <w:rPr>
                      <w:rFonts w:hint="default" w:ascii="Times New Roman" w:hAnsi="Times New Roman" w:cs="Times New Roman"/>
                      <w:b/>
                      <w:bCs/>
                      <w:color w:val="000000"/>
                      <w:sz w:val="21"/>
                      <w:szCs w:val="21"/>
                      <w:vertAlign w:val="superscript"/>
                    </w:rPr>
                    <w:t>3</w:t>
                  </w:r>
                </w:p>
              </w:tc>
              <w:tc>
                <w:tcPr>
                  <w:tcW w:w="571"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标准值</w:t>
                  </w:r>
                  <w:r>
                    <w:rPr>
                      <w:rFonts w:hint="default" w:ascii="Times New Roman" w:hAnsi="Times New Roman" w:cs="Times New Roman"/>
                      <w:b/>
                      <w:bCs/>
                      <w:color w:val="000000"/>
                      <w:sz w:val="21"/>
                      <w:szCs w:val="21"/>
                    </w:rPr>
                    <w:t>µg/m</w:t>
                  </w:r>
                  <w:r>
                    <w:rPr>
                      <w:rFonts w:hint="default" w:ascii="Times New Roman" w:hAnsi="Times New Roman" w:cs="Times New Roman"/>
                      <w:b/>
                      <w:bCs/>
                      <w:color w:val="000000"/>
                      <w:sz w:val="21"/>
                      <w:szCs w:val="21"/>
                      <w:vertAlign w:val="superscript"/>
                    </w:rPr>
                    <w:t>3</w:t>
                  </w:r>
                </w:p>
              </w:tc>
              <w:tc>
                <w:tcPr>
                  <w:tcW w:w="600"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占标率%</w:t>
                  </w:r>
                </w:p>
              </w:tc>
              <w:tc>
                <w:tcPr>
                  <w:tcW w:w="588" w:type="pct"/>
                  <w:vAlign w:val="center"/>
                </w:tcPr>
                <w:p>
                  <w:pPr>
                    <w:widowControl/>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PM</w:t>
                  </w:r>
                  <w:r>
                    <w:rPr>
                      <w:rFonts w:hint="default" w:ascii="Times New Roman" w:hAnsi="Times New Roman" w:cs="Times New Roman"/>
                      <w:color w:val="000000"/>
                      <w:kern w:val="0"/>
                      <w:sz w:val="21"/>
                      <w:szCs w:val="21"/>
                      <w:vertAlign w:val="subscript"/>
                    </w:rPr>
                    <w:t>2.5</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13.9</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35</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39.7</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PM</w:t>
                  </w:r>
                  <w:r>
                    <w:rPr>
                      <w:rFonts w:hint="default" w:ascii="Times New Roman" w:hAnsi="Times New Roman" w:cs="Times New Roman"/>
                      <w:color w:val="000000"/>
                      <w:kern w:val="0"/>
                      <w:sz w:val="21"/>
                      <w:szCs w:val="21"/>
                      <w:vertAlign w:val="subscript"/>
                    </w:rPr>
                    <w:t>10</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29.2</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70</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41.7</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NO</w:t>
                  </w:r>
                  <w:r>
                    <w:rPr>
                      <w:rFonts w:hint="default" w:ascii="Times New Roman" w:hAnsi="Times New Roman" w:cs="Times New Roman"/>
                      <w:color w:val="000000"/>
                      <w:kern w:val="0"/>
                      <w:sz w:val="21"/>
                      <w:szCs w:val="21"/>
                      <w:vertAlign w:val="subscript"/>
                    </w:rPr>
                    <w:t>2</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10.8</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40</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27</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SO</w:t>
                  </w:r>
                  <w:r>
                    <w:rPr>
                      <w:rFonts w:hint="default" w:ascii="Times New Roman" w:hAnsi="Times New Roman" w:cs="Times New Roman"/>
                      <w:color w:val="000000"/>
                      <w:kern w:val="0"/>
                      <w:sz w:val="21"/>
                      <w:szCs w:val="21"/>
                      <w:vertAlign w:val="subscript"/>
                    </w:rPr>
                    <w:t>2</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年平均质量浓度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7</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60</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11.7</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9"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CO</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第95百分位数日平均质量浓度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700</w:t>
                  </w:r>
                </w:p>
              </w:tc>
              <w:tc>
                <w:tcPr>
                  <w:tcW w:w="1051"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4000</w:t>
                  </w:r>
                </w:p>
              </w:tc>
              <w:tc>
                <w:tcPr>
                  <w:tcW w:w="1105" w:type="dxa"/>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17.5</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489" w:type="pct"/>
                  <w:vAlign w:val="center"/>
                </w:tcPr>
                <w:p>
                  <w:pPr>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O</w:t>
                  </w:r>
                  <w:r>
                    <w:rPr>
                      <w:rFonts w:hint="default" w:ascii="Times New Roman" w:hAnsi="Times New Roman" w:cs="Times New Roman"/>
                      <w:color w:val="000000"/>
                      <w:kern w:val="0"/>
                      <w:sz w:val="21"/>
                      <w:szCs w:val="21"/>
                      <w:vertAlign w:val="subscript"/>
                    </w:rPr>
                    <w:t>3</w:t>
                  </w:r>
                </w:p>
              </w:tc>
              <w:tc>
                <w:tcPr>
                  <w:tcW w:w="2071" w:type="pct"/>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第90百分位数8h平均质量浓度</w:t>
                  </w:r>
                </w:p>
              </w:tc>
              <w:tc>
                <w:tcPr>
                  <w:tcW w:w="1250"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83.75</w:t>
                  </w:r>
                </w:p>
              </w:tc>
              <w:tc>
                <w:tcPr>
                  <w:tcW w:w="1051" w:type="dxa"/>
                  <w:vAlign w:val="center"/>
                </w:tcPr>
                <w:p>
                  <w:pPr>
                    <w:widowControl/>
                    <w:spacing w:line="240" w:lineRule="auto"/>
                    <w:ind w:firstLine="0" w:firstLineChars="0"/>
                    <w:jc w:val="center"/>
                    <w:rPr>
                      <w:rFonts w:hint="default" w:ascii="Times New Roman" w:hAnsi="Times New Roman" w:eastAsia="宋体" w:cs="Times New Roman"/>
                      <w:color w:val="000000"/>
                      <w:kern w:val="0"/>
                      <w:sz w:val="21"/>
                      <w:szCs w:val="21"/>
                      <w:lang w:val="en-US" w:eastAsia="zh-CN"/>
                    </w:rPr>
                  </w:pPr>
                  <w:r>
                    <w:rPr>
                      <w:rFonts w:hint="eastAsia" w:cs="Times New Roman"/>
                      <w:color w:val="000000"/>
                      <w:kern w:val="0"/>
                      <w:sz w:val="21"/>
                      <w:szCs w:val="21"/>
                      <w:lang w:val="en-US" w:eastAsia="zh-CN"/>
                    </w:rPr>
                    <w:t>137</w:t>
                  </w:r>
                </w:p>
              </w:tc>
              <w:tc>
                <w:tcPr>
                  <w:tcW w:w="1105"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lang w:val="en-US" w:eastAsia="zh-CN"/>
                    </w:rPr>
                  </w:pPr>
                  <w:r>
                    <w:rPr>
                      <w:rFonts w:hint="eastAsia" w:cs="Times New Roman"/>
                      <w:color w:val="000000"/>
                      <w:kern w:val="0"/>
                      <w:sz w:val="21"/>
                      <w:szCs w:val="21"/>
                      <w:lang w:val="en-US" w:eastAsia="zh-CN"/>
                    </w:rPr>
                    <w:t>61.1</w:t>
                  </w:r>
                </w:p>
              </w:tc>
              <w:tc>
                <w:tcPr>
                  <w:tcW w:w="1083" w:type="dxa"/>
                  <w:vAlign w:val="center"/>
                </w:tcPr>
                <w:p>
                  <w:pPr>
                    <w:widowControl/>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达标</w:t>
                  </w:r>
                </w:p>
              </w:tc>
            </w:tr>
          </w:tbl>
          <w:p>
            <w:pPr>
              <w:pStyle w:val="47"/>
              <w:spacing w:line="440" w:lineRule="exact"/>
              <w:jc w:val="both"/>
              <w:rPr>
                <w:rFonts w:hint="default" w:ascii="Times New Roman" w:hAnsi="Times New Roman" w:cs="Times New Roman"/>
              </w:rPr>
            </w:pPr>
            <w:r>
              <w:rPr>
                <w:rFonts w:hint="default" w:ascii="Times New Roman" w:hAnsi="Times New Roman" w:cs="Times New Roman"/>
              </w:rPr>
              <w:t>根据上述监测数据，基本污染物均能达到《环境空气质量标准》（GB3095-2012）二级标准要求，项目所在评价区域为达标区。</w:t>
            </w:r>
          </w:p>
          <w:p>
            <w:pPr>
              <w:keepNext/>
              <w:keepLines/>
              <w:pageBreakBefore w:val="0"/>
              <w:widowControl/>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0000FF"/>
                <w:lang w:val="en-US" w:eastAsia="zh-CN"/>
              </w:rPr>
            </w:pPr>
            <w:r>
              <w:rPr>
                <w:rFonts w:hint="default"/>
                <w:color w:val="0000FF"/>
              </w:rPr>
              <w:t>为</w:t>
            </w:r>
            <w:r>
              <w:rPr>
                <w:rFonts w:hint="eastAsia"/>
                <w:color w:val="0000FF"/>
                <w:lang w:val="en-US" w:eastAsia="zh-CN"/>
              </w:rPr>
              <w:t>进一步了</w:t>
            </w:r>
            <w:r>
              <w:rPr>
                <w:rFonts w:hint="default"/>
                <w:color w:val="0000FF"/>
              </w:rPr>
              <w:t>解项目所在区域</w:t>
            </w:r>
            <w:r>
              <w:rPr>
                <w:rFonts w:hint="eastAsia"/>
                <w:color w:val="0000FF"/>
                <w:lang w:val="en-US" w:eastAsia="zh-CN"/>
              </w:rPr>
              <w:t>大气</w:t>
            </w:r>
            <w:r>
              <w:rPr>
                <w:rFonts w:hint="default"/>
                <w:color w:val="0000FF"/>
              </w:rPr>
              <w:t>环境质量现状，本次</w:t>
            </w:r>
            <w:r>
              <w:rPr>
                <w:rFonts w:hint="eastAsia"/>
                <w:color w:val="0000FF"/>
                <w:lang w:eastAsia="zh-CN"/>
              </w:rPr>
              <w:t>非甲烷总烃</w:t>
            </w:r>
            <w:r>
              <w:rPr>
                <w:rFonts w:hint="eastAsia"/>
                <w:color w:val="0000FF"/>
                <w:lang w:val="en-US" w:eastAsia="zh-CN"/>
              </w:rPr>
              <w:t>评价引用江西省鑫昊拉链有限公司环评中的监测数据，</w:t>
            </w:r>
            <w:r>
              <w:rPr>
                <w:rFonts w:hint="default"/>
                <w:color w:val="0000FF"/>
              </w:rPr>
              <w:t>不另行监测。</w:t>
            </w:r>
            <w:r>
              <w:rPr>
                <w:rFonts w:hint="eastAsia"/>
                <w:color w:val="0000FF"/>
                <w:lang w:eastAsia="zh-CN"/>
              </w:rPr>
              <w:t>本项目位于监测点位</w:t>
            </w:r>
            <w:r>
              <w:rPr>
                <w:rFonts w:hint="eastAsia"/>
                <w:color w:val="0000FF"/>
                <w:lang w:val="en-US" w:eastAsia="zh-CN"/>
              </w:rPr>
              <w:t>2公里之内，引用监测报告监测年份分别为2021年6月，引用数据具有代表性和实效性</w:t>
            </w:r>
            <w:r>
              <w:rPr>
                <w:rFonts w:hint="default"/>
                <w:color w:val="0000FF"/>
              </w:rPr>
              <w:t>。</w:t>
            </w:r>
            <w:r>
              <w:rPr>
                <w:rFonts w:hint="eastAsia"/>
                <w:color w:val="0000FF"/>
                <w:lang w:eastAsia="zh-CN"/>
              </w:rPr>
              <w:t>监测点位设置情况件表</w:t>
            </w:r>
            <w:r>
              <w:rPr>
                <w:rFonts w:hint="eastAsia"/>
                <w:color w:val="0000FF"/>
                <w:lang w:val="en-US" w:eastAsia="zh-CN"/>
              </w:rPr>
              <w:t>3-2，</w:t>
            </w:r>
            <w:r>
              <w:rPr>
                <w:rFonts w:hint="default"/>
                <w:color w:val="0000FF"/>
              </w:rPr>
              <w:t>监测统计结果及评价结果见表3-</w:t>
            </w:r>
            <w:r>
              <w:rPr>
                <w:rFonts w:hint="eastAsia"/>
                <w:color w:val="0000FF"/>
                <w:lang w:val="en-US" w:eastAsia="zh-CN"/>
              </w:rPr>
              <w:t>3。</w:t>
            </w:r>
          </w:p>
          <w:p>
            <w:pPr>
              <w:keepNext/>
              <w:keepLines/>
              <w:pageBreakBefore w:val="0"/>
              <w:widowControl/>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FF"/>
                <w:kern w:val="0"/>
                <w:position w:val="-34"/>
                <w:sz w:val="21"/>
                <w:lang w:val="en-US" w:eastAsia="zh-CN"/>
              </w:rPr>
            </w:pPr>
            <w:r>
              <w:rPr>
                <w:rFonts w:hint="default" w:ascii="Times New Roman" w:hAnsi="Times New Roman" w:eastAsia="宋体" w:cs="Times New Roman"/>
                <w:b/>
                <w:bCs/>
                <w:color w:val="0000FF"/>
                <w:kern w:val="0"/>
                <w:position w:val="-34"/>
                <w:sz w:val="21"/>
                <w:lang w:eastAsia="zh-CN"/>
              </w:rPr>
              <w:t>表</w:t>
            </w:r>
            <w:r>
              <w:rPr>
                <w:rFonts w:hint="default" w:ascii="Times New Roman" w:hAnsi="Times New Roman" w:eastAsia="宋体" w:cs="Times New Roman"/>
                <w:b/>
                <w:bCs/>
                <w:color w:val="0000FF"/>
                <w:kern w:val="0"/>
                <w:position w:val="-34"/>
                <w:sz w:val="21"/>
                <w:lang w:val="en-US" w:eastAsia="zh-CN"/>
              </w:rPr>
              <w:t>3-2  环境监测布点设置情况</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27"/>
              <w:gridCol w:w="4115"/>
              <w:gridCol w:w="33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93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FF"/>
                      <w:sz w:val="21"/>
                      <w:szCs w:val="21"/>
                    </w:rPr>
                  </w:pPr>
                  <w:r>
                    <w:rPr>
                      <w:rFonts w:hint="default" w:ascii="Times New Roman" w:hAnsi="Times New Roman" w:eastAsia="宋体" w:cs="Times New Roman"/>
                      <w:b/>
                      <w:bCs/>
                      <w:color w:val="0000FF"/>
                      <w:sz w:val="21"/>
                      <w:szCs w:val="21"/>
                    </w:rPr>
                    <w:t>测点编号</w:t>
                  </w:r>
                </w:p>
              </w:tc>
              <w:tc>
                <w:tcPr>
                  <w:tcW w:w="223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FF"/>
                      <w:sz w:val="21"/>
                      <w:szCs w:val="21"/>
                    </w:rPr>
                  </w:pPr>
                  <w:r>
                    <w:rPr>
                      <w:rFonts w:hint="default" w:ascii="Times New Roman" w:hAnsi="Times New Roman" w:eastAsia="宋体" w:cs="Times New Roman"/>
                      <w:b/>
                      <w:bCs/>
                      <w:color w:val="0000FF"/>
                      <w:sz w:val="21"/>
                      <w:szCs w:val="21"/>
                    </w:rPr>
                    <w:t>测点名称</w:t>
                  </w:r>
                </w:p>
              </w:tc>
              <w:tc>
                <w:tcPr>
                  <w:tcW w:w="1824"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FF"/>
                      <w:sz w:val="21"/>
                      <w:szCs w:val="21"/>
                    </w:rPr>
                  </w:pPr>
                  <w:r>
                    <w:rPr>
                      <w:rFonts w:hint="default" w:ascii="Times New Roman" w:hAnsi="Times New Roman" w:eastAsia="宋体" w:cs="Times New Roman"/>
                      <w:b/>
                      <w:bCs/>
                      <w:color w:val="0000FF"/>
                      <w:sz w:val="21"/>
                      <w:szCs w:val="21"/>
                    </w:rPr>
                    <w:t>距厂址最近距离m</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939"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0000FF"/>
                      <w:sz w:val="21"/>
                      <w:szCs w:val="21"/>
                    </w:rPr>
                    <w:t>A</w:t>
                  </w:r>
                  <w:r>
                    <w:rPr>
                      <w:rFonts w:hint="eastAsia" w:ascii="Times New Roman" w:hAnsi="Times New Roman" w:eastAsia="宋体" w:cs="Times New Roman"/>
                      <w:color w:val="0000FF"/>
                      <w:sz w:val="21"/>
                      <w:szCs w:val="21"/>
                      <w:lang w:val="en-US" w:eastAsia="zh-CN"/>
                    </w:rPr>
                    <w:t>1</w:t>
                  </w:r>
                </w:p>
              </w:tc>
              <w:tc>
                <w:tcPr>
                  <w:tcW w:w="2236"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21"/>
                      <w:szCs w:val="21"/>
                      <w:lang w:eastAsia="zh-CN"/>
                    </w:rPr>
                  </w:pPr>
                  <w:r>
                    <w:rPr>
                      <w:rFonts w:hint="eastAsia" w:cs="Times New Roman"/>
                      <w:color w:val="0000FF"/>
                      <w:sz w:val="21"/>
                      <w:szCs w:val="21"/>
                      <w:lang w:eastAsia="zh-CN"/>
                    </w:rPr>
                    <w:t>湖林村</w:t>
                  </w:r>
                </w:p>
              </w:tc>
              <w:tc>
                <w:tcPr>
                  <w:tcW w:w="1824" w:type="pct"/>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21"/>
                      <w:szCs w:val="21"/>
                      <w:lang w:val="en-US" w:eastAsia="zh-CN"/>
                    </w:rPr>
                  </w:pPr>
                  <w:r>
                    <w:rPr>
                      <w:rFonts w:hint="eastAsia" w:cs="Times New Roman"/>
                      <w:color w:val="0000FF"/>
                      <w:sz w:val="21"/>
                      <w:szCs w:val="21"/>
                      <w:lang w:val="en-US" w:eastAsia="zh-CN"/>
                    </w:rPr>
                    <w:t>1260</w:t>
                  </w:r>
                </w:p>
              </w:tc>
            </w:tr>
          </w:tbl>
          <w:p>
            <w:pPr>
              <w:kinsoku w:val="0"/>
              <w:overflowPunct w:val="0"/>
              <w:autoSpaceDE w:val="0"/>
              <w:autoSpaceDN w:val="0"/>
              <w:adjustRightInd w:val="0"/>
              <w:snapToGrid w:val="0"/>
              <w:spacing w:line="240" w:lineRule="auto"/>
              <w:ind w:firstLine="0" w:firstLineChars="0"/>
              <w:jc w:val="center"/>
              <w:rPr>
                <w:rFonts w:hint="default" w:ascii="Times New Roman" w:hAnsi="Times New Roman" w:eastAsia="宋体" w:cs="Times New Roman"/>
                <w:b/>
                <w:bCs/>
                <w:color w:val="0000FF"/>
                <w:kern w:val="0"/>
                <w:position w:val="-34"/>
                <w:sz w:val="21"/>
              </w:rPr>
            </w:pPr>
            <w:r>
              <w:rPr>
                <w:rFonts w:hint="default" w:ascii="Times New Roman" w:hAnsi="Times New Roman" w:eastAsia="宋体" w:cs="Times New Roman"/>
                <w:b/>
                <w:bCs/>
                <w:color w:val="0000FF"/>
                <w:kern w:val="0"/>
                <w:position w:val="-34"/>
                <w:sz w:val="21"/>
              </w:rPr>
              <w:t>表3-</w:t>
            </w:r>
            <w:r>
              <w:rPr>
                <w:rFonts w:hint="eastAsia" w:cs="Times New Roman"/>
                <w:b/>
                <w:bCs/>
                <w:color w:val="0000FF"/>
                <w:kern w:val="0"/>
                <w:position w:val="-34"/>
                <w:sz w:val="21"/>
                <w:lang w:val="en-US" w:eastAsia="zh-CN"/>
              </w:rPr>
              <w:t>3</w:t>
            </w:r>
            <w:r>
              <w:rPr>
                <w:rFonts w:hint="default" w:ascii="Times New Roman" w:hAnsi="Times New Roman" w:eastAsia="宋体" w:cs="Times New Roman"/>
                <w:b/>
                <w:bCs/>
                <w:color w:val="0000FF"/>
                <w:kern w:val="0"/>
                <w:position w:val="-34"/>
                <w:sz w:val="21"/>
              </w:rPr>
              <w:t xml:space="preserve"> 环境空气质量</w:t>
            </w:r>
            <w:r>
              <w:rPr>
                <w:rFonts w:hint="eastAsia" w:ascii="Times New Roman" w:hAnsi="Times New Roman" w:eastAsia="宋体" w:cs="Times New Roman"/>
                <w:b/>
                <w:bCs/>
                <w:color w:val="0000FF"/>
                <w:kern w:val="0"/>
                <w:position w:val="-34"/>
                <w:sz w:val="21"/>
              </w:rPr>
              <w:t>特征因子</w:t>
            </w:r>
            <w:r>
              <w:rPr>
                <w:rFonts w:hint="default" w:ascii="Times New Roman" w:hAnsi="Times New Roman" w:eastAsia="宋体" w:cs="Times New Roman"/>
                <w:b/>
                <w:bCs/>
                <w:color w:val="0000FF"/>
                <w:kern w:val="0"/>
                <w:position w:val="-34"/>
                <w:sz w:val="21"/>
              </w:rPr>
              <w:t>监测统计结果及评价结果      单位：mg/m</w:t>
            </w:r>
            <w:r>
              <w:rPr>
                <w:rFonts w:hint="default" w:ascii="Times New Roman" w:hAnsi="Times New Roman" w:eastAsia="宋体" w:cs="Times New Roman"/>
                <w:b/>
                <w:bCs/>
                <w:color w:val="0000FF"/>
                <w:kern w:val="0"/>
                <w:position w:val="-34"/>
                <w:sz w:val="21"/>
                <w:vertAlign w:val="superscript"/>
              </w:rPr>
              <w:t>3</w:t>
            </w:r>
          </w:p>
          <w:tbl>
            <w:tblPr>
              <w:tblStyle w:val="2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1487"/>
              <w:gridCol w:w="1853"/>
              <w:gridCol w:w="1824"/>
              <w:gridCol w:w="1853"/>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624"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0000FF"/>
                      <w:kern w:val="0"/>
                      <w:sz w:val="18"/>
                      <w:szCs w:val="18"/>
                      <w:lang w:val="en-US" w:eastAsia="zh-CN" w:bidi="ar"/>
                    </w:rPr>
                  </w:pPr>
                  <w:r>
                    <w:rPr>
                      <w:rFonts w:hint="default" w:ascii="Times New Roman" w:hAnsi="Times New Roman" w:eastAsia="宋体" w:cs="Times New Roman"/>
                      <w:b/>
                      <w:bCs/>
                      <w:color w:val="0000FF"/>
                      <w:kern w:val="0"/>
                      <w:sz w:val="18"/>
                      <w:szCs w:val="18"/>
                      <w:lang w:val="en-US" w:eastAsia="zh-CN" w:bidi="ar"/>
                    </w:rPr>
                    <w:t>监测点位</w:t>
                  </w:r>
                </w:p>
              </w:tc>
              <w:tc>
                <w:tcPr>
                  <w:tcW w:w="808" w:type="pct"/>
                  <w:tcBorders>
                    <w:tl2br w:val="single" w:color="auto" w:sz="4" w:space="0"/>
                  </w:tcBorders>
                  <w:noWrap w:val="0"/>
                  <w:vAlign w:val="center"/>
                </w:tcPr>
                <w:p>
                  <w:pPr>
                    <w:snapToGrid w:val="0"/>
                    <w:spacing w:line="240" w:lineRule="auto"/>
                    <w:ind w:firstLine="0" w:firstLineChars="0"/>
                    <w:jc w:val="right"/>
                    <w:rPr>
                      <w:rFonts w:hint="default" w:ascii="Times New Roman" w:hAnsi="Times New Roman" w:eastAsia="宋体" w:cs="Times New Roman"/>
                      <w:b/>
                      <w:bCs/>
                      <w:color w:val="0000FF"/>
                      <w:kern w:val="0"/>
                      <w:sz w:val="18"/>
                      <w:szCs w:val="18"/>
                      <w:lang w:val="en-US" w:eastAsia="zh-CN" w:bidi="ar"/>
                    </w:rPr>
                  </w:pPr>
                  <w:r>
                    <w:rPr>
                      <w:rFonts w:hint="default" w:ascii="Times New Roman" w:hAnsi="Times New Roman" w:eastAsia="宋体" w:cs="Times New Roman"/>
                      <w:b/>
                      <w:bCs/>
                      <w:color w:val="0000FF"/>
                      <w:kern w:val="0"/>
                      <w:sz w:val="18"/>
                      <w:szCs w:val="18"/>
                      <w:lang w:val="en-US" w:eastAsia="zh-CN" w:bidi="ar"/>
                    </w:rPr>
                    <w:t>时间</w:t>
                  </w:r>
                </w:p>
                <w:p>
                  <w:pPr>
                    <w:snapToGrid w:val="0"/>
                    <w:spacing w:line="240" w:lineRule="auto"/>
                    <w:ind w:firstLine="0" w:firstLineChars="0"/>
                    <w:jc w:val="left"/>
                    <w:rPr>
                      <w:rFonts w:hint="default" w:ascii="Times New Roman" w:hAnsi="Times New Roman" w:eastAsia="宋体" w:cs="Times New Roman"/>
                      <w:b/>
                      <w:bCs/>
                      <w:color w:val="0000FF"/>
                      <w:kern w:val="0"/>
                      <w:sz w:val="18"/>
                      <w:szCs w:val="18"/>
                      <w:lang w:val="en-US" w:eastAsia="zh-CN" w:bidi="ar"/>
                    </w:rPr>
                  </w:pPr>
                  <w:r>
                    <w:rPr>
                      <w:rFonts w:hint="default" w:ascii="Times New Roman" w:hAnsi="Times New Roman" w:eastAsia="宋体" w:cs="Times New Roman"/>
                      <w:b/>
                      <w:bCs/>
                      <w:color w:val="0000FF"/>
                      <w:kern w:val="0"/>
                      <w:sz w:val="18"/>
                      <w:szCs w:val="18"/>
                      <w:lang w:val="en-US" w:eastAsia="zh-CN" w:bidi="ar"/>
                    </w:rPr>
                    <w:t>项目</w:t>
                  </w:r>
                </w:p>
              </w:tc>
              <w:tc>
                <w:tcPr>
                  <w:tcW w:w="1007"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0000FF"/>
                      <w:kern w:val="0"/>
                      <w:sz w:val="18"/>
                      <w:szCs w:val="18"/>
                      <w:lang w:val="en-US" w:eastAsia="zh-CN" w:bidi="ar"/>
                    </w:rPr>
                  </w:pPr>
                  <w:r>
                    <w:rPr>
                      <w:rFonts w:hint="eastAsia" w:cs="Times New Roman"/>
                      <w:b/>
                      <w:bCs/>
                      <w:color w:val="0000FF"/>
                      <w:kern w:val="0"/>
                      <w:sz w:val="18"/>
                      <w:szCs w:val="18"/>
                      <w:lang w:val="en-US" w:eastAsia="zh-CN" w:bidi="ar"/>
                    </w:rPr>
                    <w:t>1</w:t>
                  </w:r>
                </w:p>
              </w:tc>
              <w:tc>
                <w:tcPr>
                  <w:tcW w:w="991"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0000FF"/>
                      <w:kern w:val="0"/>
                      <w:sz w:val="18"/>
                      <w:szCs w:val="18"/>
                      <w:lang w:val="en-US" w:eastAsia="zh-CN" w:bidi="ar"/>
                    </w:rPr>
                  </w:pPr>
                  <w:r>
                    <w:rPr>
                      <w:rFonts w:hint="eastAsia" w:cs="Times New Roman"/>
                      <w:b/>
                      <w:bCs/>
                      <w:color w:val="0000FF"/>
                      <w:kern w:val="0"/>
                      <w:sz w:val="18"/>
                      <w:szCs w:val="18"/>
                      <w:lang w:val="en-US" w:eastAsia="zh-CN" w:bidi="ar"/>
                    </w:rPr>
                    <w:t>2</w:t>
                  </w:r>
                </w:p>
              </w:tc>
              <w:tc>
                <w:tcPr>
                  <w:tcW w:w="1007"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0000FF"/>
                      <w:kern w:val="0"/>
                      <w:sz w:val="18"/>
                      <w:szCs w:val="18"/>
                      <w:lang w:val="en-US" w:eastAsia="zh-CN" w:bidi="ar"/>
                    </w:rPr>
                  </w:pPr>
                  <w:r>
                    <w:rPr>
                      <w:rFonts w:hint="eastAsia" w:cs="Times New Roman"/>
                      <w:b/>
                      <w:bCs/>
                      <w:color w:val="0000FF"/>
                      <w:kern w:val="0"/>
                      <w:sz w:val="18"/>
                      <w:szCs w:val="18"/>
                      <w:lang w:val="en-US" w:eastAsia="zh-CN" w:bidi="ar"/>
                    </w:rPr>
                    <w:t>3</w:t>
                  </w:r>
                </w:p>
              </w:tc>
              <w:tc>
                <w:tcPr>
                  <w:tcW w:w="560"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0000FF"/>
                      <w:kern w:val="0"/>
                      <w:sz w:val="18"/>
                      <w:szCs w:val="18"/>
                      <w:lang w:val="en-US" w:eastAsia="zh-CN" w:bidi="ar"/>
                    </w:rPr>
                  </w:pPr>
                  <w:r>
                    <w:rPr>
                      <w:rFonts w:hint="default" w:ascii="Times New Roman" w:hAnsi="Times New Roman" w:eastAsia="宋体" w:cs="Times New Roman"/>
                      <w:b/>
                      <w:bCs/>
                      <w:color w:val="0000FF"/>
                      <w:kern w:val="0"/>
                      <w:sz w:val="18"/>
                      <w:szCs w:val="18"/>
                      <w:lang w:val="en-US" w:eastAsia="zh-CN" w:bidi="ar"/>
                    </w:rPr>
                    <w:t>超标率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24"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FF"/>
                      <w:kern w:val="0"/>
                      <w:sz w:val="18"/>
                      <w:szCs w:val="18"/>
                      <w:lang w:val="en-US" w:eastAsia="zh-CN" w:bidi="ar"/>
                    </w:rPr>
                  </w:pPr>
                  <w:r>
                    <w:rPr>
                      <w:rFonts w:hint="eastAsia" w:ascii="Times New Roman" w:hAnsi="Times New Roman" w:cs="Times New Roman"/>
                      <w:b w:val="0"/>
                      <w:bCs w:val="0"/>
                      <w:color w:val="0000FF"/>
                      <w:kern w:val="0"/>
                      <w:sz w:val="18"/>
                      <w:szCs w:val="18"/>
                      <w:lang w:val="en-US" w:eastAsia="zh-CN" w:bidi="ar"/>
                    </w:rPr>
                    <w:t>A1</w:t>
                  </w:r>
                </w:p>
              </w:tc>
              <w:tc>
                <w:tcPr>
                  <w:tcW w:w="808"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FF"/>
                      <w:kern w:val="0"/>
                      <w:sz w:val="18"/>
                      <w:szCs w:val="18"/>
                      <w:lang w:val="en-US" w:eastAsia="zh-CN" w:bidi="ar"/>
                    </w:rPr>
                  </w:pPr>
                  <w:r>
                    <w:rPr>
                      <w:rFonts w:hint="eastAsia" w:eastAsia="宋体" w:cs="Times New Roman"/>
                      <w:b w:val="0"/>
                      <w:bCs w:val="0"/>
                      <w:color w:val="0000FF"/>
                      <w:kern w:val="0"/>
                      <w:sz w:val="18"/>
                      <w:szCs w:val="18"/>
                      <w:lang w:val="en-US" w:eastAsia="zh-CN" w:bidi="ar"/>
                    </w:rPr>
                    <w:t>非甲烷总烃</w:t>
                  </w:r>
                </w:p>
              </w:tc>
              <w:tc>
                <w:tcPr>
                  <w:tcW w:w="1007"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FF"/>
                      <w:kern w:val="0"/>
                      <w:sz w:val="18"/>
                      <w:szCs w:val="18"/>
                      <w:lang w:val="en-US" w:eastAsia="zh-CN" w:bidi="ar"/>
                    </w:rPr>
                  </w:pPr>
                  <w:r>
                    <w:rPr>
                      <w:rFonts w:hint="eastAsia" w:eastAsia="宋体" w:cs="Times New Roman"/>
                      <w:b w:val="0"/>
                      <w:bCs w:val="0"/>
                      <w:color w:val="0000FF"/>
                      <w:kern w:val="0"/>
                      <w:sz w:val="18"/>
                      <w:szCs w:val="18"/>
                      <w:lang w:val="en-US" w:eastAsia="zh-CN" w:bidi="ar"/>
                    </w:rPr>
                    <w:t>1.06~1.13</w:t>
                  </w:r>
                </w:p>
              </w:tc>
              <w:tc>
                <w:tcPr>
                  <w:tcW w:w="991"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FF"/>
                      <w:kern w:val="0"/>
                      <w:sz w:val="18"/>
                      <w:szCs w:val="18"/>
                      <w:lang w:val="en-US" w:eastAsia="zh-CN" w:bidi="ar"/>
                    </w:rPr>
                  </w:pPr>
                  <w:r>
                    <w:rPr>
                      <w:rFonts w:hint="eastAsia" w:eastAsia="宋体" w:cs="Times New Roman"/>
                      <w:b w:val="0"/>
                      <w:bCs w:val="0"/>
                      <w:color w:val="0000FF"/>
                      <w:kern w:val="0"/>
                      <w:sz w:val="18"/>
                      <w:szCs w:val="18"/>
                      <w:lang w:val="en-US" w:eastAsia="zh-CN" w:bidi="ar"/>
                    </w:rPr>
                    <w:t>0.6~0.75</w:t>
                  </w:r>
                </w:p>
              </w:tc>
              <w:tc>
                <w:tcPr>
                  <w:tcW w:w="1007"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FF"/>
                      <w:kern w:val="0"/>
                      <w:sz w:val="18"/>
                      <w:szCs w:val="18"/>
                      <w:lang w:val="en-US" w:eastAsia="zh-CN" w:bidi="ar"/>
                    </w:rPr>
                  </w:pPr>
                  <w:r>
                    <w:rPr>
                      <w:rFonts w:hint="eastAsia" w:eastAsia="宋体" w:cs="Times New Roman"/>
                      <w:b w:val="0"/>
                      <w:bCs w:val="0"/>
                      <w:color w:val="0000FF"/>
                      <w:kern w:val="0"/>
                      <w:sz w:val="18"/>
                      <w:szCs w:val="18"/>
                      <w:lang w:val="en-US" w:eastAsia="zh-CN" w:bidi="ar"/>
                    </w:rPr>
                    <w:t>0.69~0.81</w:t>
                  </w:r>
                </w:p>
              </w:tc>
              <w:tc>
                <w:tcPr>
                  <w:tcW w:w="560"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FF"/>
                      <w:kern w:val="0"/>
                      <w:sz w:val="18"/>
                      <w:szCs w:val="18"/>
                      <w:lang w:val="en-US" w:eastAsia="zh-CN" w:bidi="ar"/>
                    </w:rPr>
                  </w:pPr>
                  <w:r>
                    <w:rPr>
                      <w:rFonts w:hint="default" w:ascii="Times New Roman" w:hAnsi="Times New Roman" w:eastAsia="宋体" w:cs="Times New Roman"/>
                      <w:b w:val="0"/>
                      <w:bCs w:val="0"/>
                      <w:color w:val="0000FF"/>
                      <w:kern w:val="0"/>
                      <w:sz w:val="18"/>
                      <w:szCs w:val="18"/>
                      <w:lang w:val="en-US" w:eastAsia="zh-CN" w:bidi="ar"/>
                    </w:rPr>
                    <w:t>0%</w:t>
                  </w:r>
                </w:p>
              </w:tc>
            </w:tr>
          </w:tbl>
          <w:p>
            <w:pPr>
              <w:pStyle w:val="47"/>
              <w:spacing w:line="440" w:lineRule="exact"/>
              <w:jc w:val="both"/>
              <w:rPr>
                <w:rFonts w:hint="eastAsia" w:ascii="Times New Roman" w:hAnsi="Times New Roman" w:cs="Times New Roman"/>
                <w:color w:val="0000FF"/>
              </w:rPr>
            </w:pPr>
            <w:r>
              <w:rPr>
                <w:rFonts w:hint="default" w:ascii="Times New Roman" w:hAnsi="Times New Roman" w:cs="Times New Roman"/>
                <w:color w:val="0000FF"/>
              </w:rPr>
              <w:t>根据监测结果，项目所在区域环境空气</w:t>
            </w:r>
            <w:r>
              <w:rPr>
                <w:rFonts w:hint="eastAsia" w:cs="Times New Roman"/>
                <w:color w:val="0000FF"/>
                <w:lang w:val="en-US" w:eastAsia="zh-CN"/>
              </w:rPr>
              <w:t>非甲烷总烃</w:t>
            </w:r>
            <w:r>
              <w:rPr>
                <w:rFonts w:hint="eastAsia"/>
                <w:color w:val="0000FF"/>
                <w:lang w:val="en-US" w:eastAsia="zh-CN"/>
              </w:rPr>
              <w:t>满足《大气污染物综合排放标准详解》中规定的一次值要求，</w:t>
            </w:r>
            <w:r>
              <w:rPr>
                <w:rFonts w:hint="default" w:ascii="Times New Roman" w:hAnsi="Times New Roman" w:cs="Times New Roman"/>
                <w:color w:val="0000FF"/>
              </w:rPr>
              <w:t>本项目所在区域环境空气质量良好</w:t>
            </w:r>
            <w:r>
              <w:rPr>
                <w:rFonts w:hint="eastAsia" w:ascii="Times New Roman" w:hAnsi="Times New Roman" w:cs="Times New Roman"/>
                <w:color w:val="0000FF"/>
                <w:lang w:eastAsia="zh-CN"/>
              </w:rPr>
              <w:t>。</w:t>
            </w:r>
          </w:p>
          <w:p>
            <w:pPr>
              <w:numPr>
                <w:ilvl w:val="0"/>
                <w:numId w:val="9"/>
              </w:numPr>
              <w:adjustRightInd w:val="0"/>
              <w:snapToGrid w:val="0"/>
              <w:ind w:firstLine="480"/>
              <w:rPr>
                <w:rFonts w:hint="default" w:ascii="Times New Roman" w:hAnsi="Times New Roman" w:cs="Times New Roman"/>
              </w:rPr>
            </w:pPr>
            <w:r>
              <w:rPr>
                <w:rFonts w:hint="default" w:ascii="Times New Roman" w:hAnsi="Times New Roman" w:cs="Times New Roman"/>
              </w:rPr>
              <w:t>地表水环境质量现状</w:t>
            </w:r>
          </w:p>
          <w:p>
            <w:pPr>
              <w:pStyle w:val="47"/>
              <w:spacing w:line="440" w:lineRule="exact"/>
              <w:jc w:val="both"/>
              <w:rPr>
                <w:rFonts w:hint="default" w:ascii="Times New Roman" w:hAnsi="Times New Roman" w:cs="Times New Roman"/>
              </w:rPr>
            </w:pPr>
            <w:r>
              <w:rPr>
                <w:rFonts w:hint="default" w:ascii="Times New Roman" w:hAnsi="Times New Roman" w:cs="Times New Roman"/>
              </w:rPr>
              <w:t>（1）水环境功能区</w:t>
            </w:r>
          </w:p>
          <w:p>
            <w:pPr>
              <w:pStyle w:val="47"/>
              <w:spacing w:line="440" w:lineRule="exact"/>
              <w:jc w:val="both"/>
              <w:rPr>
                <w:rFonts w:hint="default" w:ascii="Times New Roman" w:hAnsi="Times New Roman" w:cs="Times New Roman"/>
                <w:color w:val="000000"/>
              </w:rPr>
            </w:pPr>
            <w:r>
              <w:rPr>
                <w:rFonts w:hint="default" w:ascii="Times New Roman" w:hAnsi="Times New Roman" w:cs="Times New Roman"/>
                <w:color w:val="000000"/>
              </w:rPr>
              <w:t>项目位于</w:t>
            </w:r>
            <w:r>
              <w:rPr>
                <w:rFonts w:hint="default" w:ascii="Times New Roman" w:hAnsi="Times New Roman" w:cs="Times New Roman"/>
                <w:color w:val="auto"/>
                <w:sz w:val="24"/>
                <w:szCs w:val="24"/>
                <w:shd w:val="clear" w:color="auto" w:fill="auto"/>
                <w:lang w:eastAsia="zh-CN"/>
              </w:rPr>
              <w:t>江西省</w:t>
            </w:r>
            <w:r>
              <w:rPr>
                <w:rFonts w:hint="eastAsia" w:cs="Times New Roman"/>
                <w:color w:val="auto"/>
                <w:sz w:val="24"/>
                <w:szCs w:val="24"/>
                <w:shd w:val="clear" w:color="auto" w:fill="auto"/>
                <w:lang w:eastAsia="zh-CN"/>
              </w:rPr>
              <w:t>上饶市婺源县</w:t>
            </w:r>
            <w:r>
              <w:rPr>
                <w:rFonts w:hint="default" w:ascii="Times New Roman" w:hAnsi="Times New Roman" w:cs="Times New Roman"/>
                <w:color w:val="000000"/>
              </w:rPr>
              <w:t>，</w:t>
            </w:r>
            <w:r>
              <w:rPr>
                <w:rFonts w:hint="eastAsia" w:cs="Times New Roman"/>
                <w:color w:val="000000"/>
                <w:lang w:eastAsia="zh-CN"/>
              </w:rPr>
              <w:t>本项目尾水处理达标后排入高砂河，后汇入乐安河，乐安河属于饶河流域</w:t>
            </w:r>
            <w:r>
              <w:rPr>
                <w:rFonts w:hint="default" w:ascii="Times New Roman" w:hAnsi="Times New Roman" w:cs="Times New Roman"/>
                <w:color w:val="000000"/>
              </w:rPr>
              <w:t>。水质控制目标为Ⅲ类水质，水质执行《地表水环境质量标准》（GB3838-2002）Ⅲ类标准。</w:t>
            </w:r>
          </w:p>
          <w:p>
            <w:pPr>
              <w:pStyle w:val="47"/>
              <w:spacing w:line="440" w:lineRule="exact"/>
              <w:jc w:val="both"/>
              <w:rPr>
                <w:rFonts w:hint="default" w:ascii="Times New Roman" w:hAnsi="Times New Roman" w:cs="Times New Roman"/>
              </w:rPr>
            </w:pPr>
            <w:r>
              <w:rPr>
                <w:rFonts w:hint="default" w:ascii="Times New Roman" w:hAnsi="Times New Roman" w:cs="Times New Roman"/>
              </w:rPr>
              <w:t>（2）地表水环境现状</w:t>
            </w:r>
          </w:p>
          <w:p>
            <w:pPr>
              <w:pStyle w:val="47"/>
              <w:spacing w:line="440" w:lineRule="exact"/>
              <w:jc w:val="both"/>
              <w:rPr>
                <w:rFonts w:hint="default" w:ascii="Times New Roman" w:hAnsi="Times New Roman" w:cs="Times New Roman"/>
              </w:rPr>
            </w:pPr>
            <w:r>
              <w:rPr>
                <w:rFonts w:hint="eastAsia" w:cs="Times New Roman"/>
                <w:sz w:val="24"/>
                <w:szCs w:val="24"/>
                <w:lang w:eastAsia="zh-CN"/>
              </w:rPr>
              <w:t>本环评选取乐安河作为现状评价对象，</w:t>
            </w:r>
            <w:r>
              <w:rPr>
                <w:rFonts w:hint="default" w:ascii="Times New Roman" w:hAnsi="Times New Roman" w:cs="Times New Roman"/>
                <w:color w:val="000000"/>
              </w:rPr>
              <w:t>采用上饶市生态环境局公布的《上饶市环境质量月报》（202</w:t>
            </w:r>
            <w:r>
              <w:rPr>
                <w:rFonts w:hint="eastAsia" w:cs="Times New Roman"/>
                <w:color w:val="000000"/>
                <w:lang w:val="en-US" w:eastAsia="zh-CN"/>
              </w:rPr>
              <w:t>1</w:t>
            </w:r>
            <w:r>
              <w:rPr>
                <w:rFonts w:hint="default" w:ascii="Times New Roman" w:hAnsi="Times New Roman" w:cs="Times New Roman"/>
                <w:color w:val="000000"/>
              </w:rPr>
              <w:t>年1月~1</w:t>
            </w:r>
            <w:r>
              <w:rPr>
                <w:rFonts w:hint="eastAsia" w:cs="Times New Roman"/>
                <w:color w:val="000000"/>
                <w:lang w:val="en-US" w:eastAsia="zh-CN"/>
              </w:rPr>
              <w:t>2</w:t>
            </w:r>
            <w:r>
              <w:rPr>
                <w:rFonts w:hint="default" w:ascii="Times New Roman" w:hAnsi="Times New Roman" w:cs="Times New Roman"/>
                <w:color w:val="000000"/>
              </w:rPr>
              <w:t>月）</w:t>
            </w:r>
            <w:r>
              <w:rPr>
                <w:rFonts w:hint="eastAsia" w:cs="Times New Roman"/>
                <w:color w:val="000000"/>
                <w:lang w:eastAsia="zh-CN"/>
              </w:rPr>
              <w:t>乐安河水质状况</w:t>
            </w:r>
            <w:r>
              <w:rPr>
                <w:rFonts w:hint="default" w:ascii="Times New Roman" w:hAnsi="Times New Roman" w:cs="Times New Roman"/>
              </w:rPr>
              <w:t>，</w:t>
            </w:r>
            <w:r>
              <w:rPr>
                <w:rFonts w:hint="eastAsia" w:cs="Times New Roman"/>
                <w:lang w:eastAsia="zh-CN"/>
              </w:rPr>
              <w:t>乐安河</w:t>
            </w:r>
            <w:r>
              <w:rPr>
                <w:rFonts w:hint="default" w:ascii="Times New Roman" w:hAnsi="Times New Roman" w:cs="Times New Roman"/>
              </w:rPr>
              <w:t>水质状况总体为优。</w:t>
            </w:r>
            <w:r>
              <w:rPr>
                <w:rFonts w:hint="eastAsia" w:cs="Times New Roman"/>
                <w:lang w:eastAsia="zh-CN"/>
              </w:rPr>
              <w:t>乐安河</w:t>
            </w:r>
            <w:r>
              <w:rPr>
                <w:rFonts w:hint="default" w:ascii="Times New Roman" w:hAnsi="Times New Roman" w:cs="Times New Roman"/>
              </w:rPr>
              <w:t>水质类别为Ⅲ类，水质可达《地表水环境质量标准》（GB3838-2002）Ⅲ类标准。</w:t>
            </w:r>
          </w:p>
          <w:p>
            <w:pPr>
              <w:kinsoku w:val="0"/>
              <w:overflowPunct w:val="0"/>
              <w:autoSpaceDE w:val="0"/>
              <w:autoSpaceDN w:val="0"/>
              <w:adjustRightInd w:val="0"/>
              <w:snapToGrid w:val="0"/>
              <w:spacing w:line="240" w:lineRule="auto"/>
              <w:ind w:firstLine="0" w:firstLineChars="0"/>
              <w:jc w:val="center"/>
              <w:rPr>
                <w:rFonts w:hint="default" w:ascii="Times New Roman" w:hAnsi="Times New Roman" w:eastAsia="宋体" w:cs="Times New Roman"/>
                <w:b/>
                <w:color w:val="000000"/>
                <w:kern w:val="2"/>
                <w:sz w:val="21"/>
                <w:szCs w:val="21"/>
                <w:lang w:val="en-US" w:eastAsia="zh-CN" w:bidi="ar-SA"/>
              </w:rPr>
            </w:pPr>
            <w:r>
              <w:rPr>
                <w:rFonts w:hint="default" w:ascii="Times New Roman" w:hAnsi="Times New Roman" w:eastAsia="宋体" w:cs="Times New Roman"/>
                <w:b/>
                <w:color w:val="000000"/>
                <w:kern w:val="2"/>
                <w:sz w:val="21"/>
                <w:szCs w:val="21"/>
                <w:lang w:val="en-US" w:eastAsia="zh-CN" w:bidi="ar-SA"/>
              </w:rPr>
              <w:t>表3-</w:t>
            </w:r>
            <w:r>
              <w:rPr>
                <w:rFonts w:hint="eastAsia" w:cs="Times New Roman"/>
                <w:b/>
                <w:color w:val="000000"/>
                <w:kern w:val="2"/>
                <w:sz w:val="21"/>
                <w:szCs w:val="21"/>
                <w:lang w:val="en-US" w:eastAsia="zh-CN" w:bidi="ar-SA"/>
              </w:rPr>
              <w:t>4</w:t>
            </w:r>
            <w:r>
              <w:rPr>
                <w:rFonts w:hint="default" w:ascii="Times New Roman" w:hAnsi="Times New Roman" w:eastAsia="宋体" w:cs="Times New Roman"/>
                <w:b/>
                <w:color w:val="000000"/>
                <w:kern w:val="2"/>
                <w:sz w:val="21"/>
                <w:szCs w:val="21"/>
                <w:lang w:val="en-US" w:eastAsia="zh-CN" w:bidi="ar-SA"/>
              </w:rPr>
              <w:t xml:space="preserve">  202</w:t>
            </w:r>
            <w:r>
              <w:rPr>
                <w:rFonts w:hint="eastAsia" w:cs="Times New Roman"/>
                <w:b/>
                <w:color w:val="000000"/>
                <w:kern w:val="2"/>
                <w:sz w:val="21"/>
                <w:szCs w:val="21"/>
                <w:lang w:val="en-US" w:eastAsia="zh-CN" w:bidi="ar-SA"/>
              </w:rPr>
              <w:t>1</w:t>
            </w:r>
            <w:r>
              <w:rPr>
                <w:rFonts w:hint="default" w:ascii="Times New Roman" w:hAnsi="Times New Roman" w:eastAsia="宋体" w:cs="Times New Roman"/>
                <w:b/>
                <w:color w:val="000000"/>
                <w:kern w:val="2"/>
                <w:sz w:val="21"/>
                <w:szCs w:val="21"/>
                <w:lang w:val="en-US" w:eastAsia="zh-CN" w:bidi="ar-SA"/>
              </w:rPr>
              <w:t>年地表水</w:t>
            </w:r>
            <w:r>
              <w:rPr>
                <w:rFonts w:hint="eastAsia" w:cs="Times New Roman"/>
                <w:b/>
                <w:color w:val="000000"/>
                <w:kern w:val="2"/>
                <w:sz w:val="21"/>
                <w:szCs w:val="21"/>
                <w:lang w:val="en-US" w:eastAsia="zh-CN" w:bidi="ar-SA"/>
              </w:rPr>
              <w:t>乐安河婺源玉坦桥</w:t>
            </w:r>
            <w:r>
              <w:rPr>
                <w:rFonts w:hint="default" w:ascii="Times New Roman" w:hAnsi="Times New Roman" w:eastAsia="宋体" w:cs="Times New Roman"/>
                <w:b/>
                <w:color w:val="000000"/>
                <w:kern w:val="2"/>
                <w:sz w:val="21"/>
                <w:szCs w:val="21"/>
                <w:lang w:val="en-US" w:eastAsia="zh-CN" w:bidi="ar-SA"/>
              </w:rPr>
              <w:t>段断面评价结果表</w:t>
            </w:r>
          </w:p>
          <w:tbl>
            <w:tblPr>
              <w:tblStyle w:val="2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60"/>
              <w:gridCol w:w="987"/>
              <w:gridCol w:w="1039"/>
              <w:gridCol w:w="553"/>
              <w:gridCol w:w="553"/>
              <w:gridCol w:w="553"/>
              <w:gridCol w:w="553"/>
              <w:gridCol w:w="553"/>
              <w:gridCol w:w="555"/>
              <w:gridCol w:w="555"/>
              <w:gridCol w:w="555"/>
              <w:gridCol w:w="560"/>
              <w:gridCol w:w="560"/>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57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监测断面</w:t>
                  </w:r>
                </w:p>
              </w:tc>
              <w:tc>
                <w:tcPr>
                  <w:tcW w:w="53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水质类比</w:t>
                  </w:r>
                </w:p>
              </w:tc>
              <w:tc>
                <w:tcPr>
                  <w:tcW w:w="564"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1月</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2月</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3月</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4月</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5月</w:t>
                  </w:r>
                </w:p>
              </w:tc>
              <w:tc>
                <w:tcPr>
                  <w:tcW w:w="30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6月</w:t>
                  </w:r>
                </w:p>
              </w:tc>
              <w:tc>
                <w:tcPr>
                  <w:tcW w:w="30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7月</w:t>
                  </w:r>
                </w:p>
              </w:tc>
              <w:tc>
                <w:tcPr>
                  <w:tcW w:w="30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8月</w:t>
                  </w:r>
                </w:p>
              </w:tc>
              <w:tc>
                <w:tcPr>
                  <w:tcW w:w="301"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9月</w:t>
                  </w:r>
                </w:p>
              </w:tc>
              <w:tc>
                <w:tcPr>
                  <w:tcW w:w="304"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10月</w:t>
                  </w:r>
                </w:p>
              </w:tc>
              <w:tc>
                <w:tcPr>
                  <w:tcW w:w="304"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color w:val="000000"/>
                      <w:kern w:val="0"/>
                      <w:sz w:val="21"/>
                      <w:szCs w:val="21"/>
                      <w:lang w:val="en-US" w:eastAsia="zh-CN"/>
                    </w:rPr>
                  </w:pPr>
                  <w:r>
                    <w:rPr>
                      <w:rFonts w:hint="eastAsia" w:cs="Times New Roman"/>
                      <w:b/>
                      <w:bCs/>
                      <w:color w:val="000000"/>
                      <w:kern w:val="0"/>
                      <w:sz w:val="21"/>
                      <w:szCs w:val="21"/>
                      <w:lang w:val="en-US" w:eastAsia="zh-CN"/>
                    </w:rPr>
                    <w:t>11月</w:t>
                  </w:r>
                </w:p>
              </w:tc>
              <w:tc>
                <w:tcPr>
                  <w:tcW w:w="304"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color w:val="000000"/>
                      <w:kern w:val="0"/>
                      <w:sz w:val="21"/>
                      <w:szCs w:val="21"/>
                      <w:lang w:val="en-US" w:eastAsia="zh-CN"/>
                    </w:rPr>
                  </w:pPr>
                  <w:r>
                    <w:rPr>
                      <w:rFonts w:hint="eastAsia" w:cs="Times New Roman"/>
                      <w:b/>
                      <w:bCs/>
                      <w:color w:val="000000"/>
                      <w:kern w:val="0"/>
                      <w:sz w:val="21"/>
                      <w:szCs w:val="21"/>
                      <w:lang w:val="en-US" w:eastAsia="zh-CN"/>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57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000000"/>
                      <w:kern w:val="0"/>
                      <w:sz w:val="21"/>
                      <w:szCs w:val="21"/>
                      <w:lang w:eastAsia="zh-CN"/>
                    </w:rPr>
                  </w:pPr>
                  <w:r>
                    <w:rPr>
                      <w:rFonts w:hint="eastAsia" w:cs="Times New Roman"/>
                      <w:color w:val="000000"/>
                      <w:kern w:val="0"/>
                      <w:sz w:val="21"/>
                      <w:szCs w:val="21"/>
                      <w:lang w:eastAsia="zh-CN"/>
                    </w:rPr>
                    <w:t>婺源玉坦桥</w:t>
                  </w:r>
                </w:p>
              </w:tc>
              <w:tc>
                <w:tcPr>
                  <w:tcW w:w="536"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Ⅲ</w:t>
                  </w:r>
                </w:p>
              </w:tc>
              <w:tc>
                <w:tcPr>
                  <w:tcW w:w="10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Ⅱ</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imes New Roman" w:hAnsi="Times New Roman" w:eastAsia="宋体" w:cs="Times New Roman"/>
                      <w:b w:val="0"/>
                      <w:bCs/>
                      <w:color w:val="000000"/>
                      <w:kern w:val="0"/>
                      <w:sz w:val="21"/>
                      <w:szCs w:val="21"/>
                      <w:lang w:eastAsia="zh-CN"/>
                    </w:rPr>
                  </w:pPr>
                  <w:r>
                    <w:rPr>
                      <w:rFonts w:hint="eastAsia" w:ascii="宋体" w:hAnsi="宋体" w:eastAsia="宋体" w:cs="宋体"/>
                      <w:b/>
                      <w:bCs/>
                      <w:i w:val="0"/>
                      <w:iCs w:val="0"/>
                      <w:color w:val="000000"/>
                      <w:kern w:val="0"/>
                      <w:sz w:val="21"/>
                      <w:szCs w:val="21"/>
                      <w:u w:val="none"/>
                      <w:lang w:val="en-US" w:eastAsia="zh-CN" w:bidi="ar"/>
                    </w:rPr>
                    <w:t>Ⅲ</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Ⅱ</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Ⅰ</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Ⅱ</w:t>
                  </w:r>
                </w:p>
              </w:tc>
              <w:tc>
                <w:tcPr>
                  <w:tcW w:w="55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Ⅱ</w:t>
                  </w:r>
                </w:p>
              </w:tc>
              <w:tc>
                <w:tcPr>
                  <w:tcW w:w="5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Ⅱ</w:t>
                  </w:r>
                </w:p>
              </w:tc>
              <w:tc>
                <w:tcPr>
                  <w:tcW w:w="5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Ⅱ</w:t>
                  </w:r>
                </w:p>
              </w:tc>
              <w:tc>
                <w:tcPr>
                  <w:tcW w:w="5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Ⅲ</w:t>
                  </w:r>
                </w:p>
              </w:tc>
              <w:tc>
                <w:tcPr>
                  <w:tcW w:w="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cs="Times New Roman"/>
                      <w:b w:val="0"/>
                      <w:bCs/>
                      <w:color w:val="000000"/>
                      <w:kern w:val="0"/>
                      <w:sz w:val="21"/>
                      <w:szCs w:val="21"/>
                    </w:rPr>
                  </w:pPr>
                  <w:r>
                    <w:rPr>
                      <w:rFonts w:hint="eastAsia" w:ascii="宋体" w:hAnsi="宋体" w:eastAsia="宋体" w:cs="宋体"/>
                      <w:b/>
                      <w:bCs/>
                      <w:i w:val="0"/>
                      <w:iCs w:val="0"/>
                      <w:color w:val="000000"/>
                      <w:kern w:val="0"/>
                      <w:sz w:val="21"/>
                      <w:szCs w:val="21"/>
                      <w:u w:val="none"/>
                      <w:lang w:val="en-US" w:eastAsia="zh-CN" w:bidi="ar"/>
                    </w:rPr>
                    <w:t>Ⅱ</w:t>
                  </w:r>
                </w:p>
              </w:tc>
              <w:tc>
                <w:tcPr>
                  <w:tcW w:w="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b w:val="0"/>
                      <w:bCs/>
                      <w:color w:val="000000"/>
                      <w:kern w:val="0"/>
                      <w:sz w:val="21"/>
                      <w:szCs w:val="21"/>
                      <w:lang w:eastAsia="zh-CN"/>
                    </w:rPr>
                  </w:pPr>
                  <w:r>
                    <w:rPr>
                      <w:rFonts w:hint="eastAsia" w:ascii="宋体" w:hAnsi="宋体" w:eastAsia="宋体" w:cs="宋体"/>
                      <w:b/>
                      <w:bCs/>
                      <w:i w:val="0"/>
                      <w:iCs w:val="0"/>
                      <w:color w:val="000000"/>
                      <w:kern w:val="0"/>
                      <w:sz w:val="21"/>
                      <w:szCs w:val="21"/>
                      <w:u w:val="none"/>
                      <w:lang w:val="en-US" w:eastAsia="zh-CN" w:bidi="ar"/>
                    </w:rPr>
                    <w:t>Ⅱ</w:t>
                  </w:r>
                </w:p>
              </w:tc>
              <w:tc>
                <w:tcPr>
                  <w:tcW w:w="5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cs="Times New Roman"/>
                      <w:b w:val="0"/>
                      <w:bCs/>
                      <w:color w:val="000000"/>
                      <w:kern w:val="0"/>
                      <w:sz w:val="21"/>
                      <w:szCs w:val="21"/>
                      <w:lang w:eastAsia="zh-CN"/>
                    </w:rPr>
                  </w:pPr>
                  <w:r>
                    <w:rPr>
                      <w:rFonts w:hint="eastAsia" w:ascii="宋体" w:hAnsi="宋体" w:eastAsia="宋体" w:cs="宋体"/>
                      <w:b/>
                      <w:bCs/>
                      <w:i w:val="0"/>
                      <w:iCs w:val="0"/>
                      <w:color w:val="000000"/>
                      <w:kern w:val="0"/>
                      <w:sz w:val="21"/>
                      <w:szCs w:val="21"/>
                      <w:u w:val="none"/>
                      <w:lang w:val="en-US" w:eastAsia="zh-CN" w:bidi="ar"/>
                    </w:rPr>
                    <w:t>Ⅱ</w:t>
                  </w:r>
                </w:p>
              </w:tc>
            </w:tr>
          </w:tbl>
          <w:p>
            <w:pPr>
              <w:numPr>
                <w:ilvl w:val="0"/>
                <w:numId w:val="9"/>
              </w:numPr>
              <w:adjustRightInd w:val="0"/>
              <w:snapToGrid w:val="0"/>
              <w:ind w:firstLine="480"/>
              <w:rPr>
                <w:rFonts w:hint="default" w:ascii="Times New Roman" w:hAnsi="Times New Roman" w:cs="Times New Roman"/>
              </w:rPr>
            </w:pPr>
            <w:r>
              <w:rPr>
                <w:rFonts w:hint="default" w:ascii="Times New Roman" w:hAnsi="Times New Roman" w:cs="Times New Roman"/>
              </w:rPr>
              <w:t>声环境质量现状</w:t>
            </w:r>
          </w:p>
          <w:p>
            <w:pPr>
              <w:pStyle w:val="47"/>
              <w:keepNext w:val="0"/>
              <w:keepLines w:val="0"/>
              <w:pageBreakBefore w:val="0"/>
              <w:widowControl w:val="0"/>
              <w:kinsoku/>
              <w:wordWrap/>
              <w:overflowPunct/>
              <w:topLinePunct w:val="0"/>
              <w:autoSpaceDE w:val="0"/>
              <w:autoSpaceDN w:val="0"/>
              <w:bidi w:val="0"/>
              <w:adjustRightInd/>
              <w:snapToGrid/>
              <w:spacing w:line="440" w:lineRule="exact"/>
              <w:ind w:left="0" w:leftChars="0" w:firstLine="480" w:firstLineChars="200"/>
              <w:jc w:val="both"/>
              <w:textAlignment w:val="auto"/>
              <w:rPr>
                <w:rFonts w:hint="default" w:ascii="Times New Roman" w:hAnsi="Times New Roman" w:cs="Times New Roman"/>
                <w:color w:val="000000"/>
              </w:rPr>
            </w:pPr>
            <w:r>
              <w:rPr>
                <w:rFonts w:hint="eastAsia" w:cs="Times New Roman"/>
                <w:color w:val="000000"/>
                <w:lang w:eastAsia="zh-CN"/>
              </w:rPr>
              <w:t>本项目厂界外周边</w:t>
            </w:r>
            <w:r>
              <w:rPr>
                <w:rFonts w:hint="eastAsia" w:cs="Times New Roman"/>
                <w:color w:val="000000"/>
                <w:lang w:val="en-US" w:eastAsia="zh-CN"/>
              </w:rPr>
              <w:t>50米范围内不存在声环境保护目标，本环评不开展声环境质量现状评价</w:t>
            </w:r>
            <w:r>
              <w:rPr>
                <w:rFonts w:hint="default" w:ascii="Times New Roman" w:hAnsi="Times New Roman" w:cs="Times New Roman"/>
                <w:color w:val="000000"/>
              </w:rPr>
              <w:t>。</w:t>
            </w:r>
          </w:p>
          <w:p>
            <w:pPr>
              <w:pStyle w:val="47"/>
              <w:numPr>
                <w:ilvl w:val="0"/>
                <w:numId w:val="9"/>
              </w:numPr>
              <w:spacing w:line="440" w:lineRule="exact"/>
              <w:jc w:val="both"/>
              <w:rPr>
                <w:rFonts w:hint="default" w:ascii="Times New Roman" w:hAnsi="Times New Roman" w:cs="Times New Roman"/>
                <w:color w:val="000000"/>
              </w:rPr>
            </w:pPr>
            <w:r>
              <w:rPr>
                <w:rFonts w:hint="default" w:ascii="Times New Roman" w:hAnsi="Times New Roman" w:cs="Times New Roman"/>
                <w:color w:val="000000"/>
              </w:rPr>
              <w:t>生态环境现状调查与评价</w:t>
            </w:r>
          </w:p>
          <w:p>
            <w:pPr>
              <w:pStyle w:val="47"/>
              <w:keepNext w:val="0"/>
              <w:keepLines w:val="0"/>
              <w:pageBreakBefore w:val="0"/>
              <w:widowControl w:val="0"/>
              <w:kinsoku/>
              <w:wordWrap/>
              <w:overflowPunct/>
              <w:topLinePunct w:val="0"/>
              <w:autoSpaceDE w:val="0"/>
              <w:autoSpaceDN w:val="0"/>
              <w:bidi w:val="0"/>
              <w:adjustRightInd/>
              <w:snapToGrid/>
              <w:spacing w:line="440" w:lineRule="exact"/>
              <w:ind w:left="0" w:leftChars="0" w:firstLine="480" w:firstLineChars="200"/>
              <w:jc w:val="both"/>
              <w:textAlignment w:val="auto"/>
              <w:rPr>
                <w:rFonts w:hint="default" w:ascii="Times New Roman" w:hAnsi="Times New Roman" w:cs="Times New Roman"/>
                <w:color w:val="000000"/>
              </w:rPr>
            </w:pPr>
            <w:r>
              <w:rPr>
                <w:rFonts w:hint="eastAsia" w:cs="Times New Roman"/>
                <w:color w:val="000000"/>
                <w:lang w:eastAsia="zh-CN"/>
              </w:rPr>
              <w:t>本项目位于婺源县工业园区内，不开展生态环境现状调查工作</w:t>
            </w:r>
            <w:r>
              <w:rPr>
                <w:rFonts w:hint="default" w:ascii="Times New Roman" w:hAnsi="Times New Roman" w:cs="Times New Roman"/>
                <w:color w:val="000000"/>
              </w:rPr>
              <w:t>。</w:t>
            </w:r>
          </w:p>
          <w:p>
            <w:pPr>
              <w:pStyle w:val="47"/>
              <w:numPr>
                <w:ilvl w:val="0"/>
                <w:numId w:val="9"/>
              </w:numPr>
              <w:spacing w:line="440" w:lineRule="exact"/>
              <w:jc w:val="both"/>
              <w:rPr>
                <w:rFonts w:hint="default" w:ascii="Times New Roman" w:hAnsi="Times New Roman" w:cs="Times New Roman"/>
                <w:color w:val="000000"/>
              </w:rPr>
            </w:pPr>
            <w:r>
              <w:rPr>
                <w:rFonts w:hint="default" w:ascii="Times New Roman" w:hAnsi="Times New Roman" w:cs="Times New Roman"/>
                <w:color w:val="000000"/>
              </w:rPr>
              <w:t>地下水、土壤环境现状调查与评价</w:t>
            </w:r>
          </w:p>
          <w:p>
            <w:pPr>
              <w:pStyle w:val="47"/>
              <w:spacing w:line="440" w:lineRule="exact"/>
              <w:jc w:val="both"/>
              <w:rPr>
                <w:rFonts w:hint="eastAsia" w:cs="Times New Roman"/>
                <w:color w:val="000000"/>
                <w:lang w:val="en-US" w:eastAsia="zh-CN"/>
              </w:rPr>
            </w:pPr>
            <w:r>
              <w:rPr>
                <w:rFonts w:hint="eastAsia" w:cs="Times New Roman"/>
                <w:color w:val="000000"/>
                <w:lang w:eastAsia="zh-CN"/>
              </w:rPr>
              <w:t>本项目所在厂界外</w:t>
            </w:r>
            <w:r>
              <w:rPr>
                <w:rFonts w:hint="eastAsia" w:cs="Times New Roman"/>
                <w:color w:val="000000"/>
                <w:lang w:val="en-US" w:eastAsia="zh-CN"/>
              </w:rPr>
              <w:t>500米范围内不涉及地下水集中式饮用水水源和热水、矿泉水、温泉等特殊地下水资源。本环评不开展地下水环境质量现状调查工作。</w:t>
            </w:r>
          </w:p>
          <w:p>
            <w:pPr>
              <w:pStyle w:val="47"/>
              <w:spacing w:line="440" w:lineRule="exact"/>
              <w:jc w:val="both"/>
              <w:rPr>
                <w:rFonts w:hint="default" w:ascii="Times New Roman" w:hAnsi="Times New Roman" w:cs="Times New Roman"/>
              </w:rPr>
            </w:pPr>
            <w:r>
              <w:rPr>
                <w:rFonts w:hint="eastAsia" w:cs="Times New Roman"/>
                <w:color w:val="000000"/>
                <w:lang w:val="en-US" w:eastAsia="zh-CN"/>
              </w:rPr>
              <w:t>本项目占地范围内不涉及珍稀植物栖息地、饮用水源保护区。本项目涉及的大气污染物为TVOC、颗粒物，不存在土壤环境污染途经，本环评不开展土壤环境质量现状调查工作</w:t>
            </w:r>
            <w:r>
              <w:rPr>
                <w:rFonts w:hint="default" w:ascii="Times New Roman" w:hAnsi="Times New Roman" w:cs="Times New Roman"/>
                <w:color w:val="00000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环</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境</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保</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护</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目</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标</w:t>
            </w:r>
          </w:p>
        </w:tc>
        <w:tc>
          <w:tcPr>
            <w:tcW w:w="4734" w:type="pct"/>
            <w:vAlign w:val="center"/>
          </w:tcPr>
          <w:p>
            <w:pPr>
              <w:adjustRightInd w:val="0"/>
              <w:snapToGrid w:val="0"/>
              <w:ind w:firstLine="448"/>
              <w:rPr>
                <w:rFonts w:hint="default" w:eastAsia="宋体"/>
                <w:lang w:val="en-US" w:eastAsia="zh-CN"/>
              </w:rPr>
            </w:pPr>
            <w:r>
              <w:rPr>
                <w:rFonts w:hint="default" w:eastAsia="宋体"/>
                <w:lang w:val="en-US" w:eastAsia="zh-CN"/>
              </w:rPr>
              <w:t>1、大气环境</w:t>
            </w:r>
          </w:p>
          <w:p>
            <w:pPr>
              <w:adjustRightInd w:val="0"/>
              <w:snapToGrid w:val="0"/>
              <w:ind w:firstLine="448"/>
              <w:rPr>
                <w:rFonts w:hint="default" w:eastAsia="宋体"/>
              </w:rPr>
            </w:pPr>
            <w:r>
              <w:rPr>
                <w:rFonts w:hint="default" w:eastAsia="宋体"/>
              </w:rPr>
              <w:t>项目厂界外500米范围内无自然保护区、风景名胜区</w:t>
            </w:r>
            <w:r>
              <w:rPr>
                <w:rFonts w:hint="eastAsia" w:eastAsia="宋体"/>
                <w:lang w:eastAsia="zh-CN"/>
              </w:rPr>
              <w:t>和</w:t>
            </w:r>
            <w:r>
              <w:rPr>
                <w:rFonts w:hint="default" w:eastAsia="宋体"/>
              </w:rPr>
              <w:t>文化区等保护目标。</w:t>
            </w:r>
          </w:p>
          <w:p>
            <w:pPr>
              <w:adjustRightInd w:val="0"/>
              <w:snapToGrid w:val="0"/>
              <w:ind w:firstLine="448"/>
              <w:rPr>
                <w:rFonts w:hint="default" w:eastAsia="宋体"/>
                <w:lang w:val="en-US" w:eastAsia="zh-CN"/>
              </w:rPr>
            </w:pPr>
            <w:r>
              <w:rPr>
                <w:rFonts w:hint="default" w:eastAsia="宋体"/>
                <w:lang w:val="en-US" w:eastAsia="zh-CN"/>
              </w:rPr>
              <w:t>2、声环境</w:t>
            </w:r>
          </w:p>
          <w:p>
            <w:pPr>
              <w:adjustRightInd w:val="0"/>
              <w:snapToGrid w:val="0"/>
              <w:ind w:firstLine="448"/>
              <w:rPr>
                <w:rFonts w:hint="default" w:eastAsia="宋体"/>
                <w:lang w:val="en-US" w:eastAsia="zh-CN"/>
              </w:rPr>
            </w:pPr>
            <w:r>
              <w:rPr>
                <w:rFonts w:hint="default" w:eastAsia="宋体"/>
                <w:lang w:val="en-US" w:eastAsia="zh-CN"/>
              </w:rPr>
              <w:t>项目厂界外 50 米范围内无声环境保护目标。</w:t>
            </w:r>
          </w:p>
          <w:p>
            <w:pPr>
              <w:adjustRightInd w:val="0"/>
              <w:snapToGrid w:val="0"/>
              <w:ind w:firstLine="448"/>
              <w:rPr>
                <w:rFonts w:hint="default" w:eastAsia="宋体"/>
                <w:lang w:val="en-US" w:eastAsia="zh-CN"/>
              </w:rPr>
            </w:pPr>
            <w:r>
              <w:rPr>
                <w:rFonts w:hint="default" w:eastAsia="宋体"/>
                <w:lang w:val="en-US" w:eastAsia="zh-CN"/>
              </w:rPr>
              <w:t>3、地下水环境</w:t>
            </w:r>
          </w:p>
          <w:p>
            <w:pPr>
              <w:adjustRightInd w:val="0"/>
              <w:snapToGrid w:val="0"/>
              <w:ind w:firstLine="448"/>
              <w:rPr>
                <w:rFonts w:hint="default"/>
              </w:rPr>
            </w:pPr>
            <w:r>
              <w:rPr>
                <w:rFonts w:hint="default"/>
              </w:rPr>
              <w:t>项目厂界外 500 米范围内无地下水集中式饮用水水源和热水、矿泉水、温泉等特殊地下水资源，因此无地下水环境保护目标。</w:t>
            </w:r>
          </w:p>
          <w:p>
            <w:pPr>
              <w:keepNext/>
              <w:keepLines/>
              <w:pageBreakBefore w:val="0"/>
              <w:widowControl/>
              <w:kinsoku w:val="0"/>
              <w:wordWrap/>
              <w:overflowPunct w:val="0"/>
              <w:topLinePunct w:val="0"/>
              <w:autoSpaceDE w:val="0"/>
              <w:autoSpaceDN w:val="0"/>
              <w:bidi w:val="0"/>
              <w:adjustRightInd w:val="0"/>
              <w:snapToGrid w:val="0"/>
              <w:spacing w:line="240" w:lineRule="auto"/>
              <w:ind w:firstLine="0" w:firstLineChars="0"/>
              <w:jc w:val="center"/>
              <w:textAlignment w:val="auto"/>
              <w:rPr>
                <w:rFonts w:hint="default" w:ascii="Times New Roman" w:hAnsi="Times New Roman" w:eastAsia="宋体" w:cs="Times New Roman"/>
                <w:b/>
                <w:bCs/>
                <w:color w:val="000000" w:themeColor="text1"/>
                <w:kern w:val="0"/>
                <w:position w:val="-34"/>
                <w:sz w:val="21"/>
                <w14:textFill>
                  <w14:solidFill>
                    <w14:schemeClr w14:val="tx1"/>
                  </w14:solidFill>
                </w14:textFill>
              </w:rPr>
            </w:pPr>
            <w:r>
              <w:rPr>
                <w:rFonts w:hint="default" w:ascii="Times New Roman" w:hAnsi="Times New Roman" w:eastAsia="宋体" w:cs="Times New Roman"/>
                <w:b/>
                <w:bCs/>
                <w:color w:val="000000" w:themeColor="text1"/>
                <w:kern w:val="0"/>
                <w:position w:val="-34"/>
                <w:sz w:val="21"/>
                <w14:textFill>
                  <w14:solidFill>
                    <w14:schemeClr w14:val="tx1"/>
                  </w14:solidFill>
                </w14:textFill>
              </w:rPr>
              <w:t>表3-</w:t>
            </w:r>
            <w:r>
              <w:rPr>
                <w:rFonts w:hint="eastAsia" w:cs="Times New Roman"/>
                <w:b/>
                <w:bCs/>
                <w:color w:val="000000" w:themeColor="text1"/>
                <w:kern w:val="0"/>
                <w:position w:val="-34"/>
                <w:sz w:val="21"/>
                <w:lang w:val="en-US" w:eastAsia="zh-CN"/>
                <w14:textFill>
                  <w14:solidFill>
                    <w14:schemeClr w14:val="tx1"/>
                  </w14:solidFill>
                </w14:textFill>
              </w:rPr>
              <w:t>5</w:t>
            </w:r>
            <w:r>
              <w:rPr>
                <w:rFonts w:hint="default" w:ascii="Times New Roman" w:hAnsi="Times New Roman" w:eastAsia="宋体" w:cs="Times New Roman"/>
                <w:b/>
                <w:bCs/>
                <w:color w:val="000000" w:themeColor="text1"/>
                <w:kern w:val="0"/>
                <w:position w:val="-34"/>
                <w:sz w:val="21"/>
                <w14:textFill>
                  <w14:solidFill>
                    <w14:schemeClr w14:val="tx1"/>
                  </w14:solidFill>
                </w14:textFill>
              </w:rPr>
              <w:t xml:space="preserve"> 评价区域内主要环境保护目标汇总一览表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828"/>
              <w:gridCol w:w="1228"/>
              <w:gridCol w:w="1675"/>
              <w:gridCol w:w="683"/>
              <w:gridCol w:w="723"/>
              <w:gridCol w:w="1425"/>
              <w:gridCol w:w="906"/>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53"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环境要素</w:t>
                  </w:r>
                </w:p>
              </w:tc>
              <w:tc>
                <w:tcPr>
                  <w:tcW w:w="450"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名称</w:t>
                  </w:r>
                </w:p>
              </w:tc>
              <w:tc>
                <w:tcPr>
                  <w:tcW w:w="1577" w:type="pct"/>
                  <w:gridSpan w:val="2"/>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坐标</w:t>
                  </w:r>
                  <w:r>
                    <w:rPr>
                      <w:rFonts w:hint="eastAsia" w:cs="Times New Roman"/>
                      <w:b/>
                      <w:bCs/>
                      <w:color w:val="000000" w:themeColor="text1"/>
                      <w:kern w:val="0"/>
                      <w:sz w:val="21"/>
                      <w:lang w:val="en-US" w:eastAsia="zh-CN" w:bidi="ar"/>
                      <w14:textFill>
                        <w14:solidFill>
                          <w14:schemeClr w14:val="tx1"/>
                        </w14:solidFill>
                      </w14:textFill>
                    </w:rPr>
                    <w:t>/m（以厂址中心为原点）</w:t>
                  </w:r>
                </w:p>
              </w:tc>
              <w:tc>
                <w:tcPr>
                  <w:tcW w:w="371"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保护对象</w:t>
                  </w:r>
                </w:p>
              </w:tc>
              <w:tc>
                <w:tcPr>
                  <w:tcW w:w="393"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保护</w:t>
                  </w:r>
                </w:p>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内容</w:t>
                  </w:r>
                </w:p>
              </w:tc>
              <w:tc>
                <w:tcPr>
                  <w:tcW w:w="774"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环境功能区</w:t>
                  </w:r>
                </w:p>
              </w:tc>
              <w:tc>
                <w:tcPr>
                  <w:tcW w:w="492"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相对厂址方位</w:t>
                  </w:r>
                </w:p>
              </w:tc>
              <w:tc>
                <w:tcPr>
                  <w:tcW w:w="486"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t>相对厂界距离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3"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000000" w:themeColor="text1"/>
                      <w:sz w:val="20"/>
                      <w14:textFill>
                        <w14:solidFill>
                          <w14:schemeClr w14:val="tx1"/>
                        </w14:solidFill>
                      </w14:textFill>
                    </w:rPr>
                  </w:pPr>
                </w:p>
              </w:tc>
              <w:tc>
                <w:tcPr>
                  <w:tcW w:w="450"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000000" w:themeColor="text1"/>
                      <w:sz w:val="20"/>
                      <w14:textFill>
                        <w14:solidFill>
                          <w14:schemeClr w14:val="tx1"/>
                        </w14:solidFill>
                      </w14:textFill>
                    </w:rPr>
                  </w:pPr>
                </w:p>
              </w:tc>
              <w:tc>
                <w:tcPr>
                  <w:tcW w:w="667"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eastAsia" w:cs="Times New Roman"/>
                      <w:b/>
                      <w:bCs/>
                      <w:color w:val="000000" w:themeColor="text1"/>
                      <w:kern w:val="0"/>
                      <w:sz w:val="21"/>
                      <w:lang w:val="en-US" w:eastAsia="zh-CN" w:bidi="ar"/>
                      <w14:textFill>
                        <w14:solidFill>
                          <w14:schemeClr w14:val="tx1"/>
                        </w14:solidFill>
                      </w14:textFill>
                    </w:rPr>
                    <w:t>X</w:t>
                  </w:r>
                </w:p>
              </w:tc>
              <w:tc>
                <w:tcPr>
                  <w:tcW w:w="910" w:type="pct"/>
                  <w:noWrap w:val="0"/>
                  <w:vAlign w:val="center"/>
                </w:tcPr>
                <w:p>
                  <w:pPr>
                    <w:snapToGrid w:val="0"/>
                    <w:spacing w:line="240" w:lineRule="auto"/>
                    <w:ind w:firstLine="0" w:firstLineChars="0"/>
                    <w:jc w:val="center"/>
                    <w:rPr>
                      <w:rFonts w:hint="default" w:ascii="Times New Roman" w:hAnsi="Times New Roman" w:eastAsia="宋体" w:cs="Times New Roman"/>
                      <w:b/>
                      <w:bCs/>
                      <w:color w:val="000000" w:themeColor="text1"/>
                      <w:kern w:val="0"/>
                      <w:sz w:val="21"/>
                      <w:lang w:val="en-US" w:eastAsia="zh-CN" w:bidi="ar"/>
                      <w14:textFill>
                        <w14:solidFill>
                          <w14:schemeClr w14:val="tx1"/>
                        </w14:solidFill>
                      </w14:textFill>
                    </w:rPr>
                  </w:pPr>
                  <w:r>
                    <w:rPr>
                      <w:rFonts w:hint="eastAsia" w:cs="Times New Roman"/>
                      <w:b/>
                      <w:bCs/>
                      <w:color w:val="000000" w:themeColor="text1"/>
                      <w:kern w:val="0"/>
                      <w:sz w:val="21"/>
                      <w:lang w:val="en-US" w:eastAsia="zh-CN" w:bidi="ar"/>
                      <w14:textFill>
                        <w14:solidFill>
                          <w14:schemeClr w14:val="tx1"/>
                        </w14:solidFill>
                      </w14:textFill>
                    </w:rPr>
                    <w:t>Y</w:t>
                  </w:r>
                </w:p>
              </w:tc>
              <w:tc>
                <w:tcPr>
                  <w:tcW w:w="371" w:type="pct"/>
                  <w:vMerge w:val="continue"/>
                  <w:noWrap w:val="0"/>
                  <w:vAlign w:val="center"/>
                </w:tcPr>
                <w:p>
                  <w:pPr>
                    <w:kinsoku w:val="0"/>
                    <w:overflowPunct w:val="0"/>
                    <w:autoSpaceDE w:val="0"/>
                    <w:autoSpaceDN w:val="0"/>
                    <w:adjustRightInd w:val="0"/>
                    <w:snapToGrid w:val="0"/>
                    <w:spacing w:line="240" w:lineRule="auto"/>
                    <w:ind w:firstLine="0" w:firstLineChars="0"/>
                    <w:jc w:val="center"/>
                    <w:rPr>
                      <w:rFonts w:hint="default" w:ascii="Times New Roman" w:hAnsi="Times New Roman" w:eastAsia="宋体" w:cs="Times New Roman"/>
                      <w:b/>
                      <w:bCs/>
                      <w:color w:val="000000" w:themeColor="text1"/>
                      <w:kern w:val="0"/>
                      <w:position w:val="-34"/>
                      <w:sz w:val="21"/>
                      <w14:textFill>
                        <w14:solidFill>
                          <w14:schemeClr w14:val="tx1"/>
                        </w14:solidFill>
                      </w14:textFill>
                    </w:rPr>
                  </w:pPr>
                </w:p>
              </w:tc>
              <w:tc>
                <w:tcPr>
                  <w:tcW w:w="393"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000000" w:themeColor="text1"/>
                      <w:sz w:val="20"/>
                      <w14:textFill>
                        <w14:solidFill>
                          <w14:schemeClr w14:val="tx1"/>
                        </w14:solidFill>
                      </w14:textFill>
                    </w:rPr>
                  </w:pPr>
                </w:p>
              </w:tc>
              <w:tc>
                <w:tcPr>
                  <w:tcW w:w="774"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000000" w:themeColor="text1"/>
                      <w:sz w:val="20"/>
                      <w14:textFill>
                        <w14:solidFill>
                          <w14:schemeClr w14:val="tx1"/>
                        </w14:solidFill>
                      </w14:textFill>
                    </w:rPr>
                  </w:pPr>
                </w:p>
              </w:tc>
              <w:tc>
                <w:tcPr>
                  <w:tcW w:w="492"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000000" w:themeColor="text1"/>
                      <w:sz w:val="20"/>
                      <w14:textFill>
                        <w14:solidFill>
                          <w14:schemeClr w14:val="tx1"/>
                        </w14:solidFill>
                      </w14:textFill>
                    </w:rPr>
                  </w:pPr>
                </w:p>
              </w:tc>
              <w:tc>
                <w:tcPr>
                  <w:tcW w:w="486" w:type="pct"/>
                  <w:vMerge w:val="continue"/>
                  <w:noWrap w:val="0"/>
                  <w:vAlign w:val="center"/>
                </w:tcPr>
                <w:p>
                  <w:pPr>
                    <w:adjustRightInd w:val="0"/>
                    <w:snapToGrid w:val="0"/>
                    <w:ind w:firstLine="400"/>
                    <w:jc w:val="center"/>
                    <w:rPr>
                      <w:rFonts w:hint="default" w:ascii="Times New Roman" w:hAnsi="Times New Roman" w:eastAsia="宋体" w:cs="Times New Roman"/>
                      <w:bCs/>
                      <w:snapToGrid w:val="0"/>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53"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t>环境空气</w:t>
                  </w:r>
                </w:p>
              </w:tc>
              <w:tc>
                <w:tcPr>
                  <w:tcW w:w="450" w:type="pct"/>
                  <w:noWrap w:val="0"/>
                  <w:vAlign w:val="center"/>
                </w:tcPr>
                <w:p>
                  <w:pPr>
                    <w:snapToGrid w:val="0"/>
                    <w:spacing w:line="240" w:lineRule="auto"/>
                    <w:ind w:firstLine="0" w:firstLineChars="0"/>
                    <w:jc w:val="center"/>
                    <w:rPr>
                      <w:rFonts w:hint="eastAsia"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eastAsia" w:eastAsia="宋体" w:cs="Times New Roman"/>
                      <w:b w:val="0"/>
                      <w:bCs w:val="0"/>
                      <w:color w:val="000000" w:themeColor="text1"/>
                      <w:kern w:val="0"/>
                      <w:sz w:val="21"/>
                      <w:lang w:val="en-US" w:eastAsia="zh-CN" w:bidi="ar"/>
                      <w14:textFill>
                        <w14:solidFill>
                          <w14:schemeClr w14:val="tx1"/>
                        </w14:solidFill>
                      </w14:textFill>
                    </w:rPr>
                    <w:t>余庆桥</w:t>
                  </w:r>
                </w:p>
              </w:tc>
              <w:tc>
                <w:tcPr>
                  <w:tcW w:w="667"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+247</w:t>
                  </w:r>
                </w:p>
              </w:tc>
              <w:tc>
                <w:tcPr>
                  <w:tcW w:w="910"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-156</w:t>
                  </w:r>
                </w:p>
              </w:tc>
              <w:tc>
                <w:tcPr>
                  <w:tcW w:w="371"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t>居民</w:t>
                  </w:r>
                </w:p>
              </w:tc>
              <w:tc>
                <w:tcPr>
                  <w:tcW w:w="393"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120</w:t>
                  </w:r>
                  <w: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t>人</w:t>
                  </w:r>
                </w:p>
              </w:tc>
              <w:tc>
                <w:tcPr>
                  <w:tcW w:w="774" w:type="pct"/>
                  <w:vMerge w:val="restar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t>二类功能区</w:t>
                  </w:r>
                </w:p>
              </w:tc>
              <w:tc>
                <w:tcPr>
                  <w:tcW w:w="492" w:type="pct"/>
                  <w:noWrap w:val="0"/>
                  <w:vAlign w:val="center"/>
                </w:tcPr>
                <w:p>
                  <w:pPr>
                    <w:snapToGrid w:val="0"/>
                    <w:spacing w:line="240" w:lineRule="auto"/>
                    <w:ind w:firstLine="0" w:firstLineChars="0"/>
                    <w:jc w:val="center"/>
                    <w:rPr>
                      <w:rFonts w:hint="eastAsia"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东南</w:t>
                  </w:r>
                </w:p>
              </w:tc>
              <w:tc>
                <w:tcPr>
                  <w:tcW w:w="486" w:type="pct"/>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260</w:t>
                  </w:r>
                  <w:r>
                    <w:rPr>
                      <w:rFonts w:hint="eastAsia" w:ascii="Times New Roman" w:hAnsi="Times New Roman" w:eastAsia="宋体" w:cs="Times New Roman"/>
                      <w:b w:val="0"/>
                      <w:bCs w:val="0"/>
                      <w:color w:val="000000" w:themeColor="text1"/>
                      <w:kern w:val="0"/>
                      <w:sz w:val="21"/>
                      <w:lang w:val="en-US" w:eastAsia="zh-CN" w:bidi="ar"/>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453" w:type="pct"/>
                  <w:vMerge w:val="continue"/>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p>
              </w:tc>
              <w:tc>
                <w:tcPr>
                  <w:tcW w:w="450" w:type="pct"/>
                  <w:noWrap w:val="0"/>
                  <w:vAlign w:val="center"/>
                </w:tcPr>
                <w:p>
                  <w:pPr>
                    <w:snapToGrid w:val="0"/>
                    <w:spacing w:line="240" w:lineRule="auto"/>
                    <w:ind w:firstLine="0" w:firstLineChars="0"/>
                    <w:jc w:val="center"/>
                    <w:rPr>
                      <w:rFonts w:hint="eastAsia" w:eastAsia="宋体" w:cs="Times New Roman"/>
                      <w:b w:val="0"/>
                      <w:bCs w:val="0"/>
                      <w:color w:val="000000" w:themeColor="text1"/>
                      <w:kern w:val="0"/>
                      <w:sz w:val="21"/>
                      <w:lang w:val="en-US" w:eastAsia="zh-CN" w:bidi="ar"/>
                      <w14:textFill>
                        <w14:solidFill>
                          <w14:schemeClr w14:val="tx1"/>
                        </w14:solidFill>
                      </w14:textFill>
                    </w:rPr>
                  </w:pPr>
                  <w:r>
                    <w:rPr>
                      <w:rFonts w:hint="eastAsia" w:eastAsia="宋体" w:cs="Times New Roman"/>
                      <w:b w:val="0"/>
                      <w:bCs w:val="0"/>
                      <w:color w:val="000000" w:themeColor="text1"/>
                      <w:kern w:val="0"/>
                      <w:sz w:val="21"/>
                      <w:lang w:val="en-US" w:eastAsia="zh-CN" w:bidi="ar"/>
                      <w14:textFill>
                        <w14:solidFill>
                          <w14:schemeClr w14:val="tx1"/>
                        </w14:solidFill>
                      </w14:textFill>
                    </w:rPr>
                    <w:t>周家</w:t>
                  </w:r>
                </w:p>
              </w:tc>
              <w:tc>
                <w:tcPr>
                  <w:tcW w:w="667" w:type="pct"/>
                  <w:noWrap w:val="0"/>
                  <w:vAlign w:val="center"/>
                </w:tcPr>
                <w:p>
                  <w:pPr>
                    <w:snapToGrid w:val="0"/>
                    <w:spacing w:line="240" w:lineRule="auto"/>
                    <w:ind w:firstLine="0" w:firstLineChars="0"/>
                    <w:jc w:val="center"/>
                    <w:rPr>
                      <w:rFonts w:hint="default"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-148</w:t>
                  </w:r>
                </w:p>
              </w:tc>
              <w:tc>
                <w:tcPr>
                  <w:tcW w:w="910" w:type="pct"/>
                  <w:noWrap w:val="0"/>
                  <w:vAlign w:val="center"/>
                </w:tcPr>
                <w:p>
                  <w:pPr>
                    <w:snapToGrid w:val="0"/>
                    <w:spacing w:line="240" w:lineRule="auto"/>
                    <w:ind w:firstLine="0" w:firstLineChars="0"/>
                    <w:jc w:val="center"/>
                    <w:rPr>
                      <w:rFonts w:hint="default"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-146</w:t>
                  </w:r>
                </w:p>
              </w:tc>
              <w:tc>
                <w:tcPr>
                  <w:tcW w:w="371" w:type="pct"/>
                  <w:vMerge w:val="continue"/>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p>
              </w:tc>
              <w:tc>
                <w:tcPr>
                  <w:tcW w:w="393" w:type="pct"/>
                  <w:noWrap w:val="0"/>
                  <w:vAlign w:val="center"/>
                </w:tcPr>
                <w:p>
                  <w:pPr>
                    <w:snapToGrid w:val="0"/>
                    <w:spacing w:line="240" w:lineRule="auto"/>
                    <w:ind w:firstLine="0" w:firstLineChars="0"/>
                    <w:jc w:val="center"/>
                    <w:rPr>
                      <w:rFonts w:hint="default"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10人</w:t>
                  </w:r>
                </w:p>
              </w:tc>
              <w:tc>
                <w:tcPr>
                  <w:tcW w:w="774" w:type="pct"/>
                  <w:vMerge w:val="continue"/>
                  <w:noWrap w:val="0"/>
                  <w:vAlign w:val="center"/>
                </w:tcPr>
                <w:p>
                  <w:pPr>
                    <w:snapToGrid w:val="0"/>
                    <w:spacing w:line="240" w:lineRule="auto"/>
                    <w:ind w:firstLine="0" w:firstLineChars="0"/>
                    <w:jc w:val="center"/>
                    <w:rPr>
                      <w:rFonts w:hint="default" w:ascii="Times New Roman" w:hAnsi="Times New Roman" w:eastAsia="宋体" w:cs="Times New Roman"/>
                      <w:b w:val="0"/>
                      <w:bCs w:val="0"/>
                      <w:color w:val="000000" w:themeColor="text1"/>
                      <w:kern w:val="0"/>
                      <w:sz w:val="21"/>
                      <w:lang w:val="en-US" w:eastAsia="zh-CN" w:bidi="ar"/>
                      <w14:textFill>
                        <w14:solidFill>
                          <w14:schemeClr w14:val="tx1"/>
                        </w14:solidFill>
                      </w14:textFill>
                    </w:rPr>
                  </w:pPr>
                </w:p>
              </w:tc>
              <w:tc>
                <w:tcPr>
                  <w:tcW w:w="492" w:type="pct"/>
                  <w:noWrap w:val="0"/>
                  <w:vAlign w:val="center"/>
                </w:tcPr>
                <w:p>
                  <w:pPr>
                    <w:snapToGrid w:val="0"/>
                    <w:spacing w:line="240" w:lineRule="auto"/>
                    <w:ind w:firstLine="0" w:firstLineChars="0"/>
                    <w:jc w:val="center"/>
                    <w:rPr>
                      <w:rFonts w:hint="eastAsia"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西南</w:t>
                  </w:r>
                </w:p>
              </w:tc>
              <w:tc>
                <w:tcPr>
                  <w:tcW w:w="486" w:type="pct"/>
                  <w:noWrap w:val="0"/>
                  <w:vAlign w:val="center"/>
                </w:tcPr>
                <w:p>
                  <w:pPr>
                    <w:snapToGrid w:val="0"/>
                    <w:spacing w:line="240" w:lineRule="auto"/>
                    <w:ind w:firstLine="0" w:firstLineChars="0"/>
                    <w:jc w:val="center"/>
                    <w:rPr>
                      <w:rFonts w:hint="default"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00" w:themeColor="text1"/>
                      <w:kern w:val="0"/>
                      <w:sz w:val="21"/>
                      <w:lang w:val="en-US" w:eastAsia="zh-CN" w:bidi="ar"/>
                      <w14:textFill>
                        <w14:solidFill>
                          <w14:schemeClr w14:val="tx1"/>
                        </w14:solidFill>
                      </w14:textFill>
                    </w:rPr>
                    <w:t>160m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5000" w:type="pct"/>
                  <w:gridSpan w:val="9"/>
                  <w:noWrap w:val="0"/>
                  <w:vAlign w:val="center"/>
                </w:tcPr>
                <w:p>
                  <w:pPr>
                    <w:snapToGrid w:val="0"/>
                    <w:spacing w:line="240" w:lineRule="auto"/>
                    <w:ind w:firstLine="0" w:firstLineChars="0"/>
                    <w:jc w:val="center"/>
                    <w:rPr>
                      <w:rFonts w:hint="eastAsia" w:cs="Times New Roman"/>
                      <w:b w:val="0"/>
                      <w:bCs w:val="0"/>
                      <w:color w:val="000000" w:themeColor="text1"/>
                      <w:kern w:val="0"/>
                      <w:sz w:val="21"/>
                      <w:lang w:val="en-US" w:eastAsia="zh-CN" w:bidi="ar"/>
                      <w14:textFill>
                        <w14:solidFill>
                          <w14:schemeClr w14:val="tx1"/>
                        </w14:solidFill>
                      </w14:textFill>
                    </w:rPr>
                  </w:pPr>
                  <w:r>
                    <w:rPr>
                      <w:rFonts w:hint="eastAsia" w:cs="Times New Roman"/>
                      <w:b w:val="0"/>
                      <w:bCs w:val="0"/>
                      <w:color w:val="0000FF"/>
                      <w:kern w:val="0"/>
                      <w:sz w:val="21"/>
                      <w:lang w:val="en-US" w:eastAsia="zh-CN" w:bidi="ar"/>
                    </w:rPr>
                    <w:t>以厂址中心</w:t>
                  </w:r>
                  <w:r>
                    <w:rPr>
                      <w:rFonts w:hint="default" w:ascii="Times New Roman" w:hAnsi="Times New Roman" w:cs="Times New Roman"/>
                      <w:b w:val="0"/>
                      <w:bCs w:val="0"/>
                      <w:color w:val="0000FF"/>
                      <w:kern w:val="0"/>
                      <w:sz w:val="21"/>
                      <w:lang w:val="en-US" w:eastAsia="zh-CN" w:bidi="ar"/>
                    </w:rPr>
                    <w:t>（</w:t>
                  </w:r>
                  <w:r>
                    <w:rPr>
                      <w:rFonts w:hint="eastAsia" w:ascii="Times New Roman" w:hAnsi="Times New Roman" w:cs="Times New Roman"/>
                      <w:b w:val="0"/>
                      <w:bCs w:val="0"/>
                      <w:color w:val="0000FF"/>
                      <w:kern w:val="0"/>
                      <w:sz w:val="21"/>
                      <w:lang w:val="en-US" w:eastAsia="zh-CN" w:bidi="ar"/>
                    </w:rPr>
                    <w:t>E</w:t>
                  </w:r>
                  <w:r>
                    <w:rPr>
                      <w:rFonts w:hint="default" w:ascii="Times New Roman" w:hAnsi="Times New Roman" w:cs="Times New Roman"/>
                      <w:b w:val="0"/>
                      <w:bCs w:val="0"/>
                      <w:color w:val="0000FF"/>
                      <w:kern w:val="0"/>
                      <w:sz w:val="21"/>
                      <w:lang w:val="en-US" w:eastAsia="zh-CN" w:bidi="ar"/>
                    </w:rPr>
                    <w:t>117°46′14.861″</w:t>
                  </w:r>
                  <w:r>
                    <w:rPr>
                      <w:rFonts w:hint="eastAsia" w:ascii="Times New Roman" w:hAnsi="Times New Roman" w:cs="Times New Roman"/>
                      <w:b w:val="0"/>
                      <w:bCs w:val="0"/>
                      <w:color w:val="0000FF"/>
                      <w:kern w:val="0"/>
                      <w:sz w:val="21"/>
                      <w:lang w:val="en-US" w:eastAsia="zh-CN" w:bidi="ar"/>
                    </w:rPr>
                    <w:t>，N</w:t>
                  </w:r>
                  <w:r>
                    <w:rPr>
                      <w:rFonts w:hint="default" w:ascii="Times New Roman" w:hAnsi="Times New Roman" w:cs="Times New Roman"/>
                      <w:b w:val="0"/>
                      <w:bCs w:val="0"/>
                      <w:color w:val="0000FF"/>
                      <w:kern w:val="0"/>
                      <w:sz w:val="21"/>
                      <w:lang w:val="en-US" w:eastAsia="zh-CN" w:bidi="ar"/>
                    </w:rPr>
                    <w:t>28°58′25.322″</w:t>
                  </w:r>
                  <w:r>
                    <w:rPr>
                      <w:rFonts w:hint="eastAsia" w:cs="Times New Roman"/>
                      <w:b w:val="0"/>
                      <w:bCs w:val="0"/>
                      <w:color w:val="0000FF"/>
                      <w:kern w:val="0"/>
                      <w:sz w:val="21"/>
                      <w:lang w:val="en-US" w:eastAsia="zh-CN" w:bidi="ar"/>
                    </w:rPr>
                    <w:t>）为坐标原点（0，0）</w:t>
                  </w:r>
                </w:p>
              </w:tc>
            </w:tr>
          </w:tbl>
          <w:p>
            <w:pPr>
              <w:pStyle w:val="4"/>
              <w:rPr>
                <w:rFonts w:hint="default"/>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265" w:type="pct"/>
            <w:tcMar>
              <w:left w:w="28" w:type="dxa"/>
              <w:right w:w="28" w:type="dxa"/>
            </w:tcMar>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污</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染</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物</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排</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放</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控</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制</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标</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准</w:t>
            </w:r>
          </w:p>
        </w:tc>
        <w:tc>
          <w:tcPr>
            <w:tcW w:w="4734" w:type="pct"/>
            <w:vAlign w:val="center"/>
          </w:tcPr>
          <w:p>
            <w:pPr>
              <w:ind w:firstLine="480"/>
              <w:rPr>
                <w:rFonts w:hint="default" w:ascii="Times New Roman" w:hAnsi="Times New Roman" w:cs="Times New Roman"/>
                <w:bCs/>
                <w:color w:val="000000" w:themeColor="text1"/>
                <w14:textFill>
                  <w14:solidFill>
                    <w14:schemeClr w14:val="tx1"/>
                  </w14:solidFill>
                </w14:textFill>
              </w:rPr>
            </w:pPr>
            <w:r>
              <w:rPr>
                <w:rFonts w:hint="eastAsia" w:cs="Times New Roman"/>
                <w:bCs/>
                <w:color w:val="000000" w:themeColor="text1"/>
                <w:lang w:val="en-US" w:eastAsia="zh-CN"/>
                <w14:textFill>
                  <w14:solidFill>
                    <w14:schemeClr w14:val="tx1"/>
                  </w14:solidFill>
                </w14:textFill>
              </w:rPr>
              <w:t>1</w:t>
            </w:r>
            <w:r>
              <w:rPr>
                <w:rFonts w:hint="default" w:ascii="Times New Roman" w:hAnsi="Times New Roman" w:cs="Times New Roman"/>
                <w:bCs/>
                <w:color w:val="000000" w:themeColor="text1"/>
                <w14:textFill>
                  <w14:solidFill>
                    <w14:schemeClr w14:val="tx1"/>
                  </w14:solidFill>
                </w14:textFill>
              </w:rPr>
              <w:t>、废气</w:t>
            </w:r>
          </w:p>
          <w:p>
            <w:pPr>
              <w:ind w:firstLine="480"/>
              <w:rPr>
                <w:rFonts w:hint="eastAsia" w:ascii="Times New Roman" w:hAnsi="Times New Roman" w:eastAsia="宋体" w:cs="Times New Roman"/>
                <w:color w:val="000000" w:themeColor="text1"/>
                <w:kern w:val="0"/>
                <w:lang w:eastAsia="zh-CN"/>
                <w14:textFill>
                  <w14:solidFill>
                    <w14:schemeClr w14:val="tx1"/>
                  </w14:solidFill>
                </w14:textFill>
              </w:rPr>
            </w:pPr>
            <w:r>
              <w:rPr>
                <w:rFonts w:hint="eastAsia" w:eastAsia="宋体" w:cs="Times New Roman"/>
                <w:color w:val="000000" w:themeColor="text1"/>
                <w:kern w:val="0"/>
                <w:lang w:eastAsia="zh-CN"/>
                <w14:textFill>
                  <w14:solidFill>
                    <w14:schemeClr w14:val="tx1"/>
                  </w14:solidFill>
                </w14:textFill>
              </w:rPr>
              <w:t>项目</w:t>
            </w:r>
            <w:r>
              <w:rPr>
                <w:rFonts w:hint="eastAsia" w:eastAsia="宋体" w:cs="Times New Roman"/>
                <w:color w:val="000000"/>
                <w:sz w:val="24"/>
                <w:lang w:val="en-US" w:eastAsia="zh-CN"/>
              </w:rPr>
              <w:t>粉尘排放执行</w:t>
            </w:r>
            <w:r>
              <w:rPr>
                <w:rFonts w:hint="default" w:ascii="Times New Roman" w:hAnsi="Times New Roman" w:eastAsia="宋体" w:cs="Times New Roman"/>
                <w:color w:val="000000"/>
                <w:sz w:val="24"/>
              </w:rPr>
              <w:t>《大气染污综合排放标准》（GB16297-1996）表2 新污染源大气污染物排放限值中二级标准</w:t>
            </w:r>
            <w:r>
              <w:rPr>
                <w:rFonts w:hint="eastAsia" w:ascii="Times New Roman" w:hAnsi="Times New Roman" w:eastAsia="宋体" w:cs="Times New Roman"/>
                <w:color w:val="000000"/>
                <w:sz w:val="24"/>
                <w:lang w:eastAsia="zh-CN"/>
              </w:rPr>
              <w:t>，</w:t>
            </w:r>
            <w:r>
              <w:rPr>
                <w:rFonts w:hint="eastAsia" w:eastAsia="宋体" w:cs="Times New Roman"/>
                <w:color w:val="000000" w:themeColor="text1"/>
                <w:kern w:val="0"/>
                <w:lang w:eastAsia="zh-CN"/>
                <w14:textFill>
                  <w14:solidFill>
                    <w14:schemeClr w14:val="tx1"/>
                  </w14:solidFill>
                </w14:textFill>
              </w:rPr>
              <w:t>非甲烷总烃</w:t>
            </w:r>
            <w:r>
              <w:rPr>
                <w:rFonts w:hint="default" w:ascii="Times New Roman" w:hAnsi="Times New Roman" w:eastAsia="宋体" w:cs="Times New Roman"/>
                <w:color w:val="000000"/>
                <w:sz w:val="24"/>
              </w:rPr>
              <w:t>排放执行江西省地方标准《挥发性有机物排放标准 第4部分：塑料制品业》（DB36/ 1101.4—2019）标准</w:t>
            </w:r>
            <w:r>
              <w:rPr>
                <w:rFonts w:hint="eastAsia" w:eastAsia="宋体" w:cs="Times New Roman"/>
                <w:color w:val="000000"/>
                <w:sz w:val="24"/>
                <w:lang w:eastAsia="zh-CN"/>
              </w:rPr>
              <w:t>，</w:t>
            </w:r>
            <w:r>
              <w:rPr>
                <w:rFonts w:hint="default"/>
                <w:color w:val="000000" w:themeColor="text1"/>
                <w:sz w:val="24"/>
                <w:szCs w:val="24"/>
                <w14:textFill>
                  <w14:solidFill>
                    <w14:schemeClr w14:val="tx1"/>
                  </w14:solidFill>
                </w14:textFill>
              </w:rPr>
              <w:t>厂区内挥发性有机物无组织排放监控点浓度限值执行《挥发性有机物无组织排放控制标准》（GB37822-2019）附录A中厂区内VOCs无组织排放限值</w:t>
            </w:r>
            <w:r>
              <w:rPr>
                <w:rFonts w:hint="eastAsia"/>
                <w:color w:val="000000" w:themeColor="text1"/>
                <w:sz w:val="24"/>
                <w:szCs w:val="24"/>
                <w:lang w:val="en-US" w:eastAsia="zh-CN"/>
                <w14:textFill>
                  <w14:solidFill>
                    <w14:schemeClr w14:val="tx1"/>
                  </w14:solidFill>
                </w14:textFill>
              </w:rPr>
              <w:t>。</w:t>
            </w:r>
          </w:p>
          <w:p>
            <w:pPr>
              <w:spacing w:line="240" w:lineRule="auto"/>
              <w:ind w:firstLine="0" w:firstLineChars="0"/>
              <w:jc w:val="center"/>
              <w:rPr>
                <w:rFonts w:hint="eastAsia" w:eastAsia="宋体"/>
                <w:b/>
                <w:bCs/>
                <w:color w:val="000000" w:themeColor="text1"/>
                <w:sz w:val="21"/>
                <w:szCs w:val="21"/>
                <w:lang w:eastAsia="zh-CN"/>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14:textFill>
                  <w14:solidFill>
                    <w14:schemeClr w14:val="tx1"/>
                  </w14:solidFill>
                </w14:textFill>
              </w:rPr>
              <w:t>3-</w:t>
            </w:r>
            <w:r>
              <w:rPr>
                <w:rFonts w:hint="eastAsia"/>
                <w:b/>
                <w:bCs/>
                <w:color w:val="000000" w:themeColor="text1"/>
                <w:sz w:val="21"/>
                <w:szCs w:val="21"/>
                <w:lang w:val="en-US" w:eastAsia="zh-CN"/>
                <w14:textFill>
                  <w14:solidFill>
                    <w14:schemeClr w14:val="tx1"/>
                  </w14:solidFill>
                </w14:textFill>
              </w:rPr>
              <w:t>6</w:t>
            </w:r>
            <w:r>
              <w:rPr>
                <w:b/>
                <w:bCs/>
                <w:color w:val="000000" w:themeColor="text1"/>
                <w:sz w:val="21"/>
                <w:szCs w:val="21"/>
                <w14:textFill>
                  <w14:solidFill>
                    <w14:schemeClr w14:val="tx1"/>
                  </w14:solidFill>
                </w14:textFill>
              </w:rPr>
              <w:t xml:space="preserve">  </w:t>
            </w:r>
            <w:r>
              <w:rPr>
                <w:rFonts w:hint="eastAsia"/>
                <w:b/>
                <w:bCs/>
                <w:color w:val="000000" w:themeColor="text1"/>
                <w:sz w:val="21"/>
                <w:szCs w:val="21"/>
                <w14:textFill>
                  <w14:solidFill>
                    <w14:schemeClr w14:val="tx1"/>
                  </w14:solidFill>
                </w14:textFill>
              </w:rPr>
              <w:t>《大气污染物综合排放标准》（GB16297-1996</w:t>
            </w:r>
            <w:r>
              <w:rPr>
                <w:rFonts w:hint="eastAsia"/>
                <w:b/>
                <w:bCs/>
                <w:color w:val="000000" w:themeColor="text1"/>
                <w:sz w:val="21"/>
                <w:szCs w:val="21"/>
                <w:lang w:eastAsia="zh-CN"/>
                <w14:textFill>
                  <w14:solidFill>
                    <w14:schemeClr w14:val="tx1"/>
                  </w14:solidFill>
                </w14:textFill>
              </w:rPr>
              <w:t>）</w:t>
            </w:r>
          </w:p>
          <w:tbl>
            <w:tblPr>
              <w:tblStyle w:val="2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
              <w:gridCol w:w="2054"/>
              <w:gridCol w:w="1419"/>
              <w:gridCol w:w="1099"/>
              <w:gridCol w:w="1955"/>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500" w:type="pct"/>
                  <w:vMerge w:val="restar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污染物</w:t>
                  </w:r>
                </w:p>
              </w:tc>
              <w:tc>
                <w:tcPr>
                  <w:tcW w:w="1116" w:type="pct"/>
                  <w:vMerge w:val="restar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排放浓度限值（mg/m</w:t>
                  </w:r>
                  <w:r>
                    <w:rPr>
                      <w:rFonts w:hint="default" w:ascii="Times New Roman" w:hAnsi="Times New Roman" w:eastAsia="宋体" w:cs="Times New Roman"/>
                      <w:b/>
                      <w:color w:val="000000"/>
                      <w:sz w:val="21"/>
                      <w:szCs w:val="21"/>
                      <w:vertAlign w:val="superscript"/>
                    </w:rPr>
                    <w:t>3</w:t>
                  </w:r>
                  <w:r>
                    <w:rPr>
                      <w:rFonts w:hint="default" w:ascii="Times New Roman" w:hAnsi="Times New Roman" w:eastAsia="宋体" w:cs="Times New Roman"/>
                      <w:b/>
                      <w:color w:val="000000"/>
                      <w:sz w:val="21"/>
                      <w:szCs w:val="21"/>
                    </w:rPr>
                    <w:t>）</w:t>
                  </w:r>
                </w:p>
              </w:tc>
              <w:tc>
                <w:tcPr>
                  <w:tcW w:w="1368" w:type="pct"/>
                  <w:gridSpan w:val="2"/>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排放速率限值（kg/h）</w:t>
                  </w:r>
                </w:p>
              </w:tc>
              <w:tc>
                <w:tcPr>
                  <w:tcW w:w="1062" w:type="pct"/>
                  <w:vMerge w:val="restar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无组织控制值（mg/m</w:t>
                  </w:r>
                  <w:r>
                    <w:rPr>
                      <w:rFonts w:hint="default" w:ascii="Times New Roman" w:hAnsi="Times New Roman" w:eastAsia="宋体" w:cs="Times New Roman"/>
                      <w:b/>
                      <w:color w:val="000000"/>
                      <w:sz w:val="21"/>
                      <w:szCs w:val="21"/>
                      <w:vertAlign w:val="superscript"/>
                    </w:rPr>
                    <w:t>3</w:t>
                  </w:r>
                  <w:r>
                    <w:rPr>
                      <w:rFonts w:hint="default" w:ascii="Times New Roman" w:hAnsi="Times New Roman" w:eastAsia="宋体" w:cs="Times New Roman"/>
                      <w:b/>
                      <w:color w:val="000000"/>
                      <w:sz w:val="21"/>
                      <w:szCs w:val="21"/>
                    </w:rPr>
                    <w:t>）</w:t>
                  </w:r>
                </w:p>
              </w:tc>
              <w:tc>
                <w:tcPr>
                  <w:tcW w:w="955" w:type="pct"/>
                  <w:vMerge w:val="restar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选用标准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 w:type="pct"/>
                  <w:vMerge w:val="continue"/>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p>
              </w:tc>
              <w:tc>
                <w:tcPr>
                  <w:tcW w:w="1116" w:type="pct"/>
                  <w:vMerge w:val="continue"/>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p>
              </w:tc>
              <w:tc>
                <w:tcPr>
                  <w:tcW w:w="771"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15m</w:t>
                  </w:r>
                </w:p>
              </w:tc>
              <w:tc>
                <w:tcPr>
                  <w:tcW w:w="597"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sz w:val="21"/>
                      <w:szCs w:val="21"/>
                    </w:rPr>
                  </w:pPr>
                  <w:r>
                    <w:rPr>
                      <w:rFonts w:hint="default" w:ascii="Times New Roman" w:hAnsi="Times New Roman" w:eastAsia="宋体" w:cs="Times New Roman"/>
                      <w:b/>
                      <w:color w:val="000000"/>
                      <w:sz w:val="21"/>
                      <w:szCs w:val="21"/>
                    </w:rPr>
                    <w:t>20m</w:t>
                  </w:r>
                </w:p>
              </w:tc>
              <w:tc>
                <w:tcPr>
                  <w:tcW w:w="1062" w:type="pct"/>
                  <w:vMerge w:val="continue"/>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p>
              </w:tc>
              <w:tc>
                <w:tcPr>
                  <w:tcW w:w="955" w:type="pct"/>
                  <w:vMerge w:val="continue"/>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500"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颗粒物</w:t>
                  </w:r>
                </w:p>
              </w:tc>
              <w:tc>
                <w:tcPr>
                  <w:tcW w:w="1116"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120</w:t>
                  </w:r>
                </w:p>
              </w:tc>
              <w:tc>
                <w:tcPr>
                  <w:tcW w:w="771"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3.5</w:t>
                  </w:r>
                </w:p>
              </w:tc>
              <w:tc>
                <w:tcPr>
                  <w:tcW w:w="597"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5.9</w:t>
                  </w:r>
                </w:p>
              </w:tc>
              <w:tc>
                <w:tcPr>
                  <w:tcW w:w="1062"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955"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GB16297-1996表2</w:t>
                  </w:r>
                </w:p>
              </w:tc>
            </w:tr>
          </w:tbl>
          <w:p>
            <w:pPr>
              <w:spacing w:line="240" w:lineRule="auto"/>
              <w:ind w:firstLine="0" w:firstLineChars="0"/>
              <w:jc w:val="center"/>
              <w:rPr>
                <w:rFonts w:hint="default" w:ascii="Times New Roman" w:hAnsi="Times New Roman" w:cs="Times New Roman"/>
                <w:b/>
                <w:bCs/>
                <w:color w:val="000000" w:themeColor="text1"/>
                <w:sz w:val="21"/>
                <w:szCs w:val="21"/>
                <w:lang w:eastAsia="zh-CN"/>
                <w14:textFill>
                  <w14:solidFill>
                    <w14:schemeClr w14:val="tx1"/>
                  </w14:solidFill>
                </w14:textFill>
              </w:rPr>
            </w:pPr>
            <w:r>
              <w:rPr>
                <w:rFonts w:hint="eastAsia" w:ascii="Times New Roman" w:hAnsi="Times New Roman" w:cs="Times New Roman"/>
                <w:b/>
                <w:bCs/>
                <w:color w:val="000000" w:themeColor="text1"/>
                <w:sz w:val="21"/>
                <w:szCs w:val="21"/>
                <w14:textFill>
                  <w14:solidFill>
                    <w14:schemeClr w14:val="tx1"/>
                  </w14:solidFill>
                </w14:textFill>
              </w:rPr>
              <w:t>表3-</w:t>
            </w:r>
            <w:r>
              <w:rPr>
                <w:rFonts w:hint="eastAsia" w:cs="Times New Roman"/>
                <w:b/>
                <w:bCs/>
                <w:color w:val="000000" w:themeColor="text1"/>
                <w:sz w:val="21"/>
                <w:szCs w:val="21"/>
                <w:lang w:val="en-US" w:eastAsia="zh-CN"/>
                <w14:textFill>
                  <w14:solidFill>
                    <w14:schemeClr w14:val="tx1"/>
                  </w14:solidFill>
                </w14:textFill>
              </w:rPr>
              <w:t>7</w:t>
            </w:r>
            <w:r>
              <w:rPr>
                <w:rFonts w:hint="eastAsia" w:ascii="Times New Roman" w:hAnsi="Times New Roman" w:cs="Times New Roman"/>
                <w:b/>
                <w:bCs/>
                <w:color w:val="000000" w:themeColor="text1"/>
                <w:sz w:val="21"/>
                <w:szCs w:val="21"/>
                <w14:textFill>
                  <w14:solidFill>
                    <w14:schemeClr w14:val="tx1"/>
                  </w14:solidFill>
                </w14:textFill>
              </w:rPr>
              <w:t xml:space="preserve">  《挥发性有机物无组织排放控制标准》（GB37822-2019）</w:t>
            </w:r>
            <w:r>
              <w:rPr>
                <w:rFonts w:hint="default" w:ascii="Times New Roman" w:hAnsi="Times New Roman" w:cs="Times New Roman"/>
                <w:b/>
                <w:bCs/>
                <w:color w:val="000000" w:themeColor="text1"/>
                <w:sz w:val="21"/>
                <w:szCs w:val="21"/>
                <w:lang w:eastAsia="zh-CN"/>
                <w14:textFill>
                  <w14:solidFill>
                    <w14:schemeClr w14:val="tx1"/>
                  </w14:solidFill>
                </w14:textFill>
              </w:rPr>
              <w:t xml:space="preserve">  单位：mg/m</w:t>
            </w:r>
            <w:r>
              <w:rPr>
                <w:rFonts w:hint="default" w:ascii="Times New Roman" w:hAnsi="Times New Roman" w:cs="Times New Roman"/>
                <w:b/>
                <w:bCs/>
                <w:color w:val="000000" w:themeColor="text1"/>
                <w:sz w:val="21"/>
                <w:szCs w:val="21"/>
                <w:vertAlign w:val="superscript"/>
                <w:lang w:eastAsia="zh-CN"/>
                <w14:textFill>
                  <w14:solidFill>
                    <w14:schemeClr w14:val="tx1"/>
                  </w14:solidFill>
                </w14:textFill>
              </w:rPr>
              <w:t>3</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65"/>
              <w:gridCol w:w="1055"/>
              <w:gridCol w:w="2904"/>
              <w:gridCol w:w="2284"/>
              <w:gridCol w:w="168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8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污染物项目</w:t>
                  </w:r>
                </w:p>
              </w:tc>
              <w:tc>
                <w:tcPr>
                  <w:tcW w:w="5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排放限值</w:t>
                  </w:r>
                </w:p>
              </w:tc>
              <w:tc>
                <w:tcPr>
                  <w:tcW w:w="15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限制含义</w:t>
                  </w:r>
                </w:p>
              </w:tc>
              <w:tc>
                <w:tcPr>
                  <w:tcW w:w="12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无组织排放监控位置</w:t>
                  </w:r>
                </w:p>
              </w:tc>
              <w:tc>
                <w:tcPr>
                  <w:tcW w:w="91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b/>
                      <w:bCs/>
                      <w:color w:val="000000" w:themeColor="text1"/>
                      <w:sz w:val="21"/>
                      <w:szCs w:val="21"/>
                      <w:lang w:eastAsia="zh-CN"/>
                      <w14:textFill>
                        <w14:solidFill>
                          <w14:schemeClr w14:val="tx1"/>
                        </w14:solidFill>
                      </w14:textFill>
                    </w:rPr>
                  </w:pPr>
                  <w:r>
                    <w:rPr>
                      <w:rFonts w:hint="eastAsia" w:cs="Times New Roman"/>
                      <w:b/>
                      <w:bCs/>
                      <w:color w:val="000000" w:themeColor="text1"/>
                      <w:sz w:val="21"/>
                      <w:szCs w:val="21"/>
                      <w:lang w:eastAsia="zh-CN"/>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8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NMHC</w:t>
                  </w:r>
                </w:p>
              </w:tc>
              <w:tc>
                <w:tcPr>
                  <w:tcW w:w="5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w:t>
                  </w:r>
                </w:p>
              </w:tc>
              <w:tc>
                <w:tcPr>
                  <w:tcW w:w="15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监控点1h平均浓度值</w:t>
                  </w:r>
                </w:p>
              </w:tc>
              <w:tc>
                <w:tcPr>
                  <w:tcW w:w="1241"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厂房外设置监控点</w:t>
                  </w:r>
                </w:p>
              </w:tc>
              <w:tc>
                <w:tcPr>
                  <w:tcW w:w="91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lang w:eastAsia="zh-CN"/>
                      <w14:textFill>
                        <w14:solidFill>
                          <w14:schemeClr w14:val="tx1"/>
                        </w14:solidFill>
                      </w14:textFill>
                    </w:rPr>
                  </w:pPr>
                  <w:r>
                    <w:rPr>
                      <w:rFonts w:hint="eastAsia" w:ascii="Times New Roman" w:hAnsi="Times New Roman" w:cs="Times New Roman"/>
                      <w:color w:val="000000" w:themeColor="text1"/>
                      <w:sz w:val="21"/>
                      <w:szCs w:val="21"/>
                      <w:lang w:eastAsia="zh-CN"/>
                      <w14:textFill>
                        <w14:solidFill>
                          <w14:schemeClr w14:val="tx1"/>
                        </w14:solidFill>
                      </w14:textFill>
                    </w:rPr>
                    <w:t>GB37824-2019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68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lang w:val="en-US" w:eastAsia="zh-CN"/>
                      <w14:textFill>
                        <w14:solidFill>
                          <w14:schemeClr w14:val="tx1"/>
                        </w14:solidFill>
                      </w14:textFill>
                    </w:rPr>
                  </w:pPr>
                </w:p>
              </w:tc>
              <w:tc>
                <w:tcPr>
                  <w:tcW w:w="57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w:t>
                  </w:r>
                </w:p>
              </w:tc>
              <w:tc>
                <w:tcPr>
                  <w:tcW w:w="157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监控点处任意一次浓度值</w:t>
                  </w:r>
                </w:p>
              </w:tc>
              <w:tc>
                <w:tcPr>
                  <w:tcW w:w="1241"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sz w:val="21"/>
                      <w:szCs w:val="21"/>
                      <w:lang w:eastAsia="zh-CN"/>
                      <w14:textFill>
                        <w14:solidFill>
                          <w14:schemeClr w14:val="tx1"/>
                        </w14:solidFill>
                      </w14:textFill>
                    </w:rPr>
                  </w:pPr>
                </w:p>
              </w:tc>
              <w:tc>
                <w:tcPr>
                  <w:tcW w:w="91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lang w:eastAsia="zh-CN"/>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val="0"/>
              <w:spacing w:line="240" w:lineRule="auto"/>
              <w:jc w:val="center"/>
              <w:textAlignment w:val="auto"/>
              <w:rPr>
                <w:b/>
                <w:color w:val="000000"/>
                <w:sz w:val="21"/>
                <w:szCs w:val="21"/>
              </w:rPr>
            </w:pPr>
            <w:r>
              <w:rPr>
                <w:b/>
                <w:color w:val="000000"/>
                <w:sz w:val="21"/>
                <w:szCs w:val="21"/>
              </w:rPr>
              <w:t>表3-</w:t>
            </w:r>
            <w:r>
              <w:rPr>
                <w:rFonts w:hint="eastAsia"/>
                <w:b/>
                <w:color w:val="000000"/>
                <w:sz w:val="21"/>
                <w:szCs w:val="21"/>
                <w:lang w:val="en-US" w:eastAsia="zh-CN"/>
              </w:rPr>
              <w:t xml:space="preserve">8 </w:t>
            </w:r>
            <w:r>
              <w:rPr>
                <w:b/>
                <w:color w:val="000000"/>
                <w:sz w:val="21"/>
                <w:szCs w:val="21"/>
              </w:rPr>
              <w:t>江西省《挥发性有机物排放标准 第</w:t>
            </w:r>
            <w:r>
              <w:rPr>
                <w:rFonts w:hint="eastAsia"/>
                <w:b/>
                <w:color w:val="000000"/>
                <w:sz w:val="21"/>
                <w:szCs w:val="21"/>
                <w:lang w:val="en-US" w:eastAsia="zh-CN"/>
              </w:rPr>
              <w:t>4</w:t>
            </w:r>
            <w:r>
              <w:rPr>
                <w:b/>
                <w:color w:val="000000"/>
                <w:sz w:val="21"/>
                <w:szCs w:val="21"/>
              </w:rPr>
              <w:t>部分：</w:t>
            </w:r>
            <w:r>
              <w:rPr>
                <w:rFonts w:hint="eastAsia"/>
                <w:b/>
                <w:color w:val="000000"/>
                <w:sz w:val="21"/>
                <w:szCs w:val="21"/>
                <w:lang w:eastAsia="zh-CN"/>
              </w:rPr>
              <w:t>塑料制品业</w:t>
            </w:r>
            <w:r>
              <w:rPr>
                <w:b/>
                <w:color w:val="000000"/>
                <w:sz w:val="21"/>
                <w:szCs w:val="21"/>
              </w:rPr>
              <w:t>》（DB36 1101.6</w:t>
            </w:r>
            <w:r>
              <w:rPr>
                <w:rFonts w:hint="eastAsia"/>
                <w:b/>
                <w:color w:val="000000"/>
                <w:sz w:val="21"/>
                <w:szCs w:val="21"/>
                <w:lang w:val="en-US" w:eastAsia="zh-CN"/>
              </w:rPr>
              <w:t>4</w:t>
            </w:r>
            <w:r>
              <w:rPr>
                <w:b/>
                <w:color w:val="000000"/>
                <w:sz w:val="21"/>
                <w:szCs w:val="21"/>
              </w:rPr>
              <w:t>-2019）</w:t>
            </w:r>
          </w:p>
          <w:tbl>
            <w:tblPr>
              <w:tblStyle w:val="2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8"/>
              <w:gridCol w:w="2756"/>
              <w:gridCol w:w="4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1259"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b/>
                      <w:color w:val="000000"/>
                      <w:sz w:val="21"/>
                      <w:szCs w:val="21"/>
                    </w:rPr>
                    <w:t>污染物</w:t>
                  </w:r>
                </w:p>
              </w:tc>
              <w:tc>
                <w:tcPr>
                  <w:tcW w:w="1497"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b/>
                      <w:color w:val="000000"/>
                      <w:sz w:val="21"/>
                      <w:szCs w:val="21"/>
                    </w:rPr>
                    <w:t>最高允许排放浓度（mg/m</w:t>
                  </w:r>
                  <w:r>
                    <w:rPr>
                      <w:rFonts w:hint="default" w:ascii="Times New Roman" w:hAnsi="Times New Roman" w:eastAsia="宋体" w:cs="Times New Roman"/>
                      <w:b/>
                      <w:color w:val="000000"/>
                      <w:sz w:val="21"/>
                      <w:szCs w:val="21"/>
                      <w:vertAlign w:val="superscript"/>
                    </w:rPr>
                    <w:t>3</w:t>
                  </w:r>
                  <w:r>
                    <w:rPr>
                      <w:rFonts w:hint="default" w:ascii="Times New Roman" w:hAnsi="Times New Roman" w:eastAsia="宋体" w:cs="Times New Roman"/>
                      <w:b/>
                      <w:color w:val="000000"/>
                      <w:sz w:val="21"/>
                      <w:szCs w:val="21"/>
                    </w:rPr>
                    <w:t>）</w:t>
                  </w:r>
                </w:p>
              </w:tc>
              <w:tc>
                <w:tcPr>
                  <w:tcW w:w="2243"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b/>
                      <w:color w:val="000000"/>
                      <w:sz w:val="21"/>
                      <w:szCs w:val="21"/>
                    </w:rPr>
                  </w:pPr>
                  <w:r>
                    <w:rPr>
                      <w:rFonts w:hint="eastAsia" w:ascii="Times New Roman" w:hAnsi="Times New Roman" w:eastAsia="宋体" w:cs="Times New Roman"/>
                      <w:b/>
                      <w:color w:val="000000"/>
                      <w:sz w:val="21"/>
                      <w:szCs w:val="21"/>
                      <w:lang w:eastAsia="zh-CN"/>
                    </w:rPr>
                    <w:t>厂界</w:t>
                  </w:r>
                  <w:r>
                    <w:rPr>
                      <w:rFonts w:hint="default" w:ascii="Times New Roman" w:hAnsi="Times New Roman" w:eastAsia="宋体" w:cs="Times New Roman"/>
                      <w:b/>
                      <w:color w:val="000000"/>
                      <w:sz w:val="21"/>
                      <w:szCs w:val="21"/>
                    </w:rPr>
                    <w:t>监控点浓度限值（mg/m</w:t>
                  </w:r>
                  <w:r>
                    <w:rPr>
                      <w:rFonts w:hint="default" w:ascii="Times New Roman" w:hAnsi="Times New Roman" w:eastAsia="宋体" w:cs="Times New Roman"/>
                      <w:b/>
                      <w:color w:val="000000"/>
                      <w:sz w:val="21"/>
                      <w:szCs w:val="21"/>
                      <w:vertAlign w:val="superscript"/>
                    </w:rPr>
                    <w:t>3</w:t>
                  </w:r>
                  <w:r>
                    <w:rPr>
                      <w:rFonts w:hint="default" w:ascii="Times New Roman" w:hAnsi="Times New Roman" w:eastAsia="宋体" w:cs="Times New Roman"/>
                      <w:b/>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9"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eastAsia" w:ascii="Times New Roman" w:hAnsi="Times New Roman" w:eastAsia="宋体" w:cs="Times New Roman"/>
                      <w:color w:val="000000"/>
                      <w:sz w:val="21"/>
                      <w:szCs w:val="21"/>
                      <w:lang w:eastAsia="zh-CN"/>
                    </w:rPr>
                  </w:pPr>
                  <w:r>
                    <w:rPr>
                      <w:rFonts w:hint="eastAsia" w:eastAsia="宋体" w:cs="Times New Roman"/>
                      <w:color w:val="000000"/>
                      <w:sz w:val="21"/>
                      <w:szCs w:val="21"/>
                      <w:lang w:eastAsia="zh-CN"/>
                    </w:rPr>
                    <w:t>非甲烷总烃</w:t>
                  </w:r>
                </w:p>
              </w:tc>
              <w:tc>
                <w:tcPr>
                  <w:tcW w:w="1497"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lang w:val="en-US" w:eastAsia="zh-CN"/>
                    </w:rPr>
                  </w:pPr>
                  <w:r>
                    <w:rPr>
                      <w:rFonts w:hint="eastAsia" w:eastAsia="宋体" w:cs="Times New Roman"/>
                      <w:color w:val="000000"/>
                      <w:sz w:val="21"/>
                      <w:szCs w:val="21"/>
                      <w:lang w:val="en-US" w:eastAsia="zh-CN"/>
                    </w:rPr>
                    <w:t>20</w:t>
                  </w:r>
                </w:p>
              </w:tc>
              <w:tc>
                <w:tcPr>
                  <w:tcW w:w="2243" w:type="pct"/>
                  <w:noWrap w:val="0"/>
                  <w:vAlign w:val="center"/>
                </w:tcPr>
                <w:p>
                  <w:pPr>
                    <w:pStyle w:val="76"/>
                    <w:keepNext w:val="0"/>
                    <w:keepLines w:val="0"/>
                    <w:pageBreakBefore w:val="0"/>
                    <w:kinsoku/>
                    <w:wordWrap/>
                    <w:overflowPunct/>
                    <w:topLinePunct w:val="0"/>
                    <w:autoSpaceDE/>
                    <w:autoSpaceDN/>
                    <w:bidi w:val="0"/>
                    <w:adjustRightInd/>
                    <w:snapToGrid w:val="0"/>
                    <w:spacing w:line="240" w:lineRule="auto"/>
                    <w:textAlignment w:val="auto"/>
                    <w:rPr>
                      <w:rFonts w:hint="default" w:ascii="Times New Roman" w:hAnsi="Times New Roman" w:eastAsia="宋体" w:cs="Times New Roman"/>
                      <w:color w:val="000000"/>
                      <w:sz w:val="21"/>
                      <w:szCs w:val="21"/>
                      <w:lang w:val="en-US" w:eastAsia="zh-CN"/>
                    </w:rPr>
                  </w:pPr>
                  <w:r>
                    <w:rPr>
                      <w:rFonts w:hint="eastAsia" w:eastAsia="宋体" w:cs="Times New Roman"/>
                      <w:color w:val="000000"/>
                      <w:sz w:val="21"/>
                      <w:szCs w:val="21"/>
                      <w:lang w:val="en-US" w:eastAsia="zh-CN"/>
                    </w:rPr>
                    <w:t>1.5</w:t>
                  </w:r>
                </w:p>
              </w:tc>
            </w:tr>
          </w:tbl>
          <w:p>
            <w:pPr>
              <w:numPr>
                <w:ilvl w:val="0"/>
                <w:numId w:val="8"/>
              </w:numPr>
              <w:ind w:left="0" w:leftChars="0" w:firstLine="480" w:firstLineChars="200"/>
              <w:rPr>
                <w:rFonts w:hint="eastAsia" w:cs="Times New Roman"/>
                <w:bCs/>
                <w:lang w:val="en-US" w:eastAsia="zh-CN"/>
              </w:rPr>
            </w:pPr>
            <w:r>
              <w:rPr>
                <w:rFonts w:hint="eastAsia" w:cs="Times New Roman"/>
                <w:bCs/>
                <w:lang w:val="en-US" w:eastAsia="zh-CN"/>
              </w:rPr>
              <w:t>废水</w:t>
            </w:r>
          </w:p>
          <w:p>
            <w:pPr>
              <w:ind w:firstLine="480"/>
              <w:rPr>
                <w:rFonts w:hint="default"/>
                <w:lang w:val="en-US" w:eastAsia="zh-CN"/>
              </w:rPr>
            </w:pPr>
            <w:r>
              <w:rPr>
                <w:rFonts w:hint="eastAsia"/>
                <w:lang w:val="en-US" w:eastAsia="zh-CN"/>
              </w:rPr>
              <w:t>本项目废水主要为生活污水，</w:t>
            </w:r>
            <w:bookmarkStart w:id="34" w:name="_GoBack"/>
            <w:bookmarkEnd w:id="34"/>
            <w:r>
              <w:rPr>
                <w:rFonts w:hint="eastAsia"/>
                <w:lang w:val="en-US" w:eastAsia="zh-CN"/>
              </w:rPr>
              <w:t>生活污水经化粪池处理，达婺源县城西（工业园区）污水处理厂纳管标准（《污水综合排放标准》（GB8978-1996）表4中三级标准）后接园区污水管网排入污水处理厂处理，污水处理厂处理后尾水达《城镇污水处理厂污染物排放标准》（GB18918-2002）一级A标准后排入高砂河，最终汇入乐安河。</w:t>
            </w:r>
          </w:p>
          <w:p>
            <w:pPr>
              <w:spacing w:line="240" w:lineRule="auto"/>
              <w:ind w:firstLine="0" w:firstLineChars="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表</w:t>
            </w:r>
            <w:r>
              <w:rPr>
                <w:rFonts w:hint="eastAsia"/>
                <w:b/>
                <w:color w:val="000000" w:themeColor="text1"/>
                <w:sz w:val="21"/>
                <w:szCs w:val="21"/>
                <w14:textFill>
                  <w14:solidFill>
                    <w14:schemeClr w14:val="tx1"/>
                  </w14:solidFill>
                </w14:textFill>
              </w:rPr>
              <w:t>3-</w:t>
            </w:r>
            <w:r>
              <w:rPr>
                <w:rFonts w:hint="eastAsia"/>
                <w:b/>
                <w:color w:val="000000" w:themeColor="text1"/>
                <w:sz w:val="21"/>
                <w:szCs w:val="21"/>
                <w:lang w:val="en-US" w:eastAsia="zh-CN"/>
                <w14:textFill>
                  <w14:solidFill>
                    <w14:schemeClr w14:val="tx1"/>
                  </w14:solidFill>
                </w14:textFill>
              </w:rPr>
              <w:t>9</w:t>
            </w:r>
            <w:r>
              <w:rPr>
                <w:b/>
                <w:color w:val="000000" w:themeColor="text1"/>
                <w:sz w:val="21"/>
                <w:szCs w:val="21"/>
                <w14:textFill>
                  <w14:solidFill>
                    <w14:schemeClr w14:val="tx1"/>
                  </w14:solidFill>
                </w14:textFill>
              </w:rPr>
              <w:t xml:space="preserve">  污水排放执行标准   单位：mg/L</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7"/>
              <w:gridCol w:w="1532"/>
              <w:gridCol w:w="1105"/>
              <w:gridCol w:w="738"/>
              <w:gridCol w:w="1005"/>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117" w:type="pct"/>
                  <w:vAlign w:val="center"/>
                </w:tcPr>
                <w:p>
                  <w:pPr>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指标</w:t>
                  </w:r>
                </w:p>
              </w:tc>
              <w:tc>
                <w:tcPr>
                  <w:tcW w:w="832" w:type="pct"/>
                  <w:vAlign w:val="center"/>
                </w:tcPr>
                <w:p>
                  <w:pPr>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PH</w:t>
                  </w:r>
                </w:p>
              </w:tc>
              <w:tc>
                <w:tcPr>
                  <w:tcW w:w="600" w:type="pct"/>
                  <w:vAlign w:val="center"/>
                </w:tcPr>
                <w:p>
                  <w:pPr>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COD</w:t>
                  </w:r>
                  <w:r>
                    <w:rPr>
                      <w:rFonts w:hint="eastAsia"/>
                      <w:b/>
                      <w:bCs/>
                      <w:color w:val="000000" w:themeColor="text1"/>
                      <w:kern w:val="0"/>
                      <w:sz w:val="21"/>
                      <w:szCs w:val="21"/>
                      <w:vertAlign w:val="subscript"/>
                      <w14:textFill>
                        <w14:solidFill>
                          <w14:schemeClr w14:val="tx1"/>
                        </w14:solidFill>
                      </w14:textFill>
                    </w:rPr>
                    <w:t>Cr</w:t>
                  </w:r>
                </w:p>
              </w:tc>
              <w:tc>
                <w:tcPr>
                  <w:tcW w:w="401" w:type="pct"/>
                  <w:vAlign w:val="center"/>
                </w:tcPr>
                <w:p>
                  <w:pPr>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SS</w:t>
                  </w:r>
                </w:p>
              </w:tc>
              <w:tc>
                <w:tcPr>
                  <w:tcW w:w="546" w:type="pct"/>
                  <w:vAlign w:val="center"/>
                </w:tcPr>
                <w:p>
                  <w:pPr>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BOD</w:t>
                  </w:r>
                  <w:r>
                    <w:rPr>
                      <w:b/>
                      <w:bCs/>
                      <w:color w:val="000000" w:themeColor="text1"/>
                      <w:kern w:val="0"/>
                      <w:sz w:val="21"/>
                      <w:szCs w:val="21"/>
                      <w:vertAlign w:val="subscript"/>
                      <w14:textFill>
                        <w14:solidFill>
                          <w14:schemeClr w14:val="tx1"/>
                        </w14:solidFill>
                      </w14:textFill>
                    </w:rPr>
                    <w:t>5</w:t>
                  </w:r>
                </w:p>
              </w:tc>
              <w:tc>
                <w:tcPr>
                  <w:tcW w:w="501" w:type="pct"/>
                  <w:vAlign w:val="center"/>
                </w:tcPr>
                <w:p>
                  <w:pPr>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117" w:type="pct"/>
                  <w:vAlign w:val="center"/>
                </w:tcPr>
                <w:p>
                  <w:pPr>
                    <w:spacing w:line="240" w:lineRule="auto"/>
                    <w:ind w:firstLine="0" w:firstLineChars="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《污水综合排放标准》（GB8978-1996）表4中三级标准</w:t>
                  </w:r>
                </w:p>
              </w:tc>
              <w:tc>
                <w:tcPr>
                  <w:tcW w:w="832" w:type="pct"/>
                  <w:vAlign w:val="center"/>
                </w:tcPr>
                <w:p>
                  <w:pPr>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6.5~9.5</w:t>
                  </w:r>
                </w:p>
              </w:tc>
              <w:tc>
                <w:tcPr>
                  <w:tcW w:w="600" w:type="pct"/>
                  <w:vAlign w:val="center"/>
                </w:tcPr>
                <w:p>
                  <w:pPr>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eastAsia="宋体"/>
                      <w:color w:val="000000" w:themeColor="text1"/>
                      <w:kern w:val="0"/>
                      <w:sz w:val="21"/>
                      <w:szCs w:val="21"/>
                      <w:lang w:val="en-US" w:eastAsia="zh-CN"/>
                      <w14:textFill>
                        <w14:solidFill>
                          <w14:schemeClr w14:val="tx1"/>
                        </w14:solidFill>
                      </w14:textFill>
                    </w:rPr>
                    <w:t>500</w:t>
                  </w:r>
                </w:p>
              </w:tc>
              <w:tc>
                <w:tcPr>
                  <w:tcW w:w="401" w:type="pct"/>
                  <w:vAlign w:val="center"/>
                </w:tcPr>
                <w:p>
                  <w:pPr>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eastAsia="宋体"/>
                      <w:color w:val="000000" w:themeColor="text1"/>
                      <w:kern w:val="0"/>
                      <w:sz w:val="21"/>
                      <w:szCs w:val="21"/>
                      <w:lang w:val="en-US" w:eastAsia="zh-CN"/>
                      <w14:textFill>
                        <w14:solidFill>
                          <w14:schemeClr w14:val="tx1"/>
                        </w14:solidFill>
                      </w14:textFill>
                    </w:rPr>
                    <w:t>400</w:t>
                  </w:r>
                </w:p>
              </w:tc>
              <w:tc>
                <w:tcPr>
                  <w:tcW w:w="546" w:type="pct"/>
                  <w:vAlign w:val="center"/>
                </w:tcPr>
                <w:p>
                  <w:pPr>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eastAsia="宋体"/>
                      <w:color w:val="000000" w:themeColor="text1"/>
                      <w:kern w:val="0"/>
                      <w:sz w:val="21"/>
                      <w:szCs w:val="21"/>
                      <w:lang w:val="en-US" w:eastAsia="zh-CN"/>
                      <w14:textFill>
                        <w14:solidFill>
                          <w14:schemeClr w14:val="tx1"/>
                        </w14:solidFill>
                      </w14:textFill>
                    </w:rPr>
                    <w:t>350</w:t>
                  </w:r>
                </w:p>
              </w:tc>
              <w:tc>
                <w:tcPr>
                  <w:tcW w:w="501" w:type="pct"/>
                  <w:vAlign w:val="center"/>
                </w:tcPr>
                <w:p>
                  <w:pPr>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eastAsia="宋体"/>
                      <w:color w:val="000000" w:themeColor="text1"/>
                      <w:kern w:val="0"/>
                      <w:sz w:val="21"/>
                      <w:szCs w:val="21"/>
                      <w:lang w:val="en-US" w:eastAsia="zh-CN"/>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117" w:type="pct"/>
                  <w:vAlign w:val="center"/>
                </w:tcPr>
                <w:p>
                  <w:pPr>
                    <w:spacing w:line="240" w:lineRule="auto"/>
                    <w:ind w:firstLine="0" w:firstLineChars="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《城镇污水处理厂污染物排放标准》（GB18918-2002）一级A标准</w:t>
                  </w:r>
                </w:p>
              </w:tc>
              <w:tc>
                <w:tcPr>
                  <w:tcW w:w="832" w:type="pct"/>
                  <w:vAlign w:val="center"/>
                </w:tcPr>
                <w:p>
                  <w:pPr>
                    <w:spacing w:line="240" w:lineRule="auto"/>
                    <w:ind w:firstLine="0" w:firstLineChars="0"/>
                    <w:jc w:val="center"/>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6~9</w:t>
                  </w:r>
                </w:p>
              </w:tc>
              <w:tc>
                <w:tcPr>
                  <w:tcW w:w="600" w:type="pct"/>
                  <w:vAlign w:val="center"/>
                </w:tcPr>
                <w:p>
                  <w:pPr>
                    <w:spacing w:line="240" w:lineRule="auto"/>
                    <w:ind w:firstLine="0" w:firstLineChars="0"/>
                    <w:jc w:val="center"/>
                    <w:rPr>
                      <w:rFonts w:hint="default"/>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50</w:t>
                  </w:r>
                </w:p>
              </w:tc>
              <w:tc>
                <w:tcPr>
                  <w:tcW w:w="401" w:type="pct"/>
                  <w:vAlign w:val="center"/>
                </w:tcPr>
                <w:p>
                  <w:pPr>
                    <w:spacing w:line="240" w:lineRule="auto"/>
                    <w:ind w:firstLine="0" w:firstLineChars="0"/>
                    <w:jc w:val="center"/>
                    <w:rPr>
                      <w:rFonts w:hint="default"/>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10</w:t>
                  </w:r>
                </w:p>
              </w:tc>
              <w:tc>
                <w:tcPr>
                  <w:tcW w:w="546" w:type="pct"/>
                  <w:vAlign w:val="center"/>
                </w:tcPr>
                <w:p>
                  <w:pPr>
                    <w:spacing w:line="240" w:lineRule="auto"/>
                    <w:ind w:firstLine="0" w:firstLineChars="0"/>
                    <w:jc w:val="center"/>
                    <w:rPr>
                      <w:rFonts w:hint="default"/>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10</w:t>
                  </w:r>
                </w:p>
              </w:tc>
              <w:tc>
                <w:tcPr>
                  <w:tcW w:w="501" w:type="pct"/>
                  <w:vAlign w:val="center"/>
                </w:tcPr>
                <w:p>
                  <w:pPr>
                    <w:spacing w:line="240" w:lineRule="auto"/>
                    <w:ind w:firstLine="0" w:firstLineChars="0"/>
                    <w:jc w:val="center"/>
                    <w:rPr>
                      <w:rFonts w:hint="default"/>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5</w:t>
                  </w:r>
                </w:p>
              </w:tc>
            </w:tr>
          </w:tbl>
          <w:p>
            <w:pPr>
              <w:ind w:firstLine="480"/>
              <w:rPr>
                <w:rFonts w:hint="default" w:ascii="Times New Roman" w:hAnsi="Times New Roman" w:cs="Times New Roman"/>
                <w:bCs/>
              </w:rPr>
            </w:pPr>
            <w:r>
              <w:rPr>
                <w:rFonts w:hint="default" w:ascii="Times New Roman" w:hAnsi="Times New Roman" w:cs="Times New Roman"/>
                <w:bCs/>
              </w:rPr>
              <w:t>3、噪声</w:t>
            </w:r>
          </w:p>
          <w:p>
            <w:pPr>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营运期项目区域噪声执行《工业企业厂界环境噪声排放标准》（GB12348-2008）中</w:t>
            </w:r>
            <w:r>
              <w:rPr>
                <w:rFonts w:hint="eastAsia" w:cs="Times New Roman"/>
                <w:bCs/>
                <w:color w:val="000000" w:themeColor="text1"/>
                <w:lang w:val="en-US" w:eastAsia="zh-CN"/>
                <w14:textFill>
                  <w14:solidFill>
                    <w14:schemeClr w14:val="tx1"/>
                  </w14:solidFill>
                </w14:textFill>
              </w:rPr>
              <w:t>3</w:t>
            </w:r>
            <w:r>
              <w:rPr>
                <w:rFonts w:hint="default" w:ascii="Times New Roman" w:hAnsi="Times New Roman" w:cs="Times New Roman"/>
                <w:bCs/>
                <w:color w:val="000000" w:themeColor="text1"/>
                <w14:textFill>
                  <w14:solidFill>
                    <w14:schemeClr w14:val="tx1"/>
                  </w14:solidFill>
                </w14:textFill>
              </w:rPr>
              <w:t>类标准。</w:t>
            </w:r>
          </w:p>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表3-</w:t>
            </w:r>
            <w:r>
              <w:rPr>
                <w:rFonts w:hint="eastAsia" w:cs="Times New Roman"/>
                <w:b/>
                <w:bCs/>
                <w:sz w:val="21"/>
                <w:szCs w:val="21"/>
                <w:lang w:val="en-US" w:eastAsia="zh-CN"/>
              </w:rPr>
              <w:t>10</w:t>
            </w:r>
            <w:r>
              <w:rPr>
                <w:rFonts w:hint="default" w:ascii="Times New Roman" w:hAnsi="Times New Roman" w:cs="Times New Roman"/>
                <w:b/>
                <w:bCs/>
                <w:sz w:val="21"/>
                <w:szCs w:val="21"/>
              </w:rPr>
              <w:t xml:space="preserve">   环境噪声排放标准（摘录）   单位：dB(A)</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0" w:type="dxa"/>
                <w:bottom w:w="0" w:type="dxa"/>
                <w:right w:w="0" w:type="dxa"/>
              </w:tblCellMar>
            </w:tblPr>
            <w:tblGrid>
              <w:gridCol w:w="6649"/>
              <w:gridCol w:w="1306"/>
              <w:gridCol w:w="12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jc w:val="center"/>
              </w:trPr>
              <w:tc>
                <w:tcPr>
                  <w:tcW w:w="3614" w:type="pct"/>
                  <w:tcBorders>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标准</w:t>
                  </w:r>
                </w:p>
              </w:tc>
              <w:tc>
                <w:tcPr>
                  <w:tcW w:w="710" w:type="pct"/>
                  <w:tcBorders>
                    <w:left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昼间</w:t>
                  </w:r>
                </w:p>
              </w:tc>
              <w:tc>
                <w:tcPr>
                  <w:tcW w:w="675" w:type="pct"/>
                  <w:tcBorders>
                    <w:left w:val="single" w:color="auto" w:sz="6" w:space="0"/>
                    <w:bottom w:val="single" w:color="auto" w:sz="6" w:space="0"/>
                  </w:tcBorders>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85" w:hRule="atLeast"/>
                <w:jc w:val="center"/>
              </w:trPr>
              <w:tc>
                <w:tcPr>
                  <w:tcW w:w="3614" w:type="pct"/>
                  <w:tcBorders>
                    <w:top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《工业企业厂界环境噪声排放标准》（GB12348-2008）</w:t>
                  </w:r>
                </w:p>
              </w:tc>
              <w:tc>
                <w:tcPr>
                  <w:tcW w:w="710" w:type="pct"/>
                  <w:tcBorders>
                    <w:top w:val="single" w:color="auto" w:sz="6" w:space="0"/>
                    <w:left w:val="single" w:color="auto" w:sz="6" w:space="0"/>
                    <w:bottom w:val="single" w:color="auto" w:sz="6" w:space="0"/>
                    <w:right w:val="single" w:color="auto" w:sz="6" w:space="0"/>
                  </w:tcBorders>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65</w:t>
                  </w:r>
                </w:p>
              </w:tc>
              <w:tc>
                <w:tcPr>
                  <w:tcW w:w="675" w:type="pct"/>
                  <w:tcBorders>
                    <w:top w:val="single" w:color="auto" w:sz="6" w:space="0"/>
                    <w:left w:val="single" w:color="auto" w:sz="6" w:space="0"/>
                    <w:bottom w:val="single" w:color="auto" w:sz="6" w:space="0"/>
                  </w:tcBorders>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55</w:t>
                  </w:r>
                </w:p>
              </w:tc>
            </w:tr>
          </w:tbl>
          <w:p>
            <w:pPr>
              <w:ind w:firstLine="480"/>
              <w:rPr>
                <w:rFonts w:hint="default" w:ascii="Times New Roman" w:hAnsi="Times New Roman" w:cs="Times New Roman"/>
                <w:bCs/>
              </w:rPr>
            </w:pPr>
            <w:r>
              <w:rPr>
                <w:rFonts w:hint="default" w:ascii="Times New Roman" w:hAnsi="Times New Roman" w:cs="Times New Roman"/>
                <w:bCs/>
              </w:rPr>
              <w:t>4、固体废物</w:t>
            </w:r>
          </w:p>
          <w:p>
            <w:pPr>
              <w:ind w:firstLine="480"/>
              <w:rPr>
                <w:rFonts w:hint="default" w:ascii="Times New Roman" w:hAnsi="Times New Roman" w:cs="Times New Roman"/>
                <w:kern w:val="0"/>
                <w:szCs w:val="21"/>
              </w:rPr>
            </w:pPr>
            <w:r>
              <w:rPr>
                <w:rFonts w:hint="default" w:ascii="Times New Roman" w:hAnsi="Times New Roman" w:cs="Times New Roman"/>
                <w:bCs/>
              </w:rPr>
              <w:t>一般工业固体废物临时贮存执行《一般</w:t>
            </w:r>
            <w:r>
              <w:rPr>
                <w:rFonts w:hint="default" w:ascii="Times New Roman" w:hAnsi="Times New Roman" w:cs="Times New Roman"/>
                <w:bCs/>
                <w:lang w:eastAsia="zh-CN"/>
              </w:rPr>
              <w:t>工业固体废物贮存和填埋污染控制标准</w:t>
            </w:r>
            <w:r>
              <w:rPr>
                <w:rFonts w:hint="default" w:ascii="Times New Roman" w:hAnsi="Times New Roman" w:cs="Times New Roman"/>
                <w:bCs/>
              </w:rPr>
              <w:t>》（GB18599-20</w:t>
            </w:r>
            <w:r>
              <w:rPr>
                <w:rFonts w:hint="default" w:ascii="Times New Roman" w:hAnsi="Times New Roman" w:cs="Times New Roman"/>
                <w:bCs/>
                <w:lang w:val="en-US" w:eastAsia="zh-CN"/>
              </w:rPr>
              <w:t>20</w:t>
            </w:r>
            <w:r>
              <w:rPr>
                <w:rFonts w:hint="default" w:ascii="Times New Roman" w:hAnsi="Times New Roman" w:cs="Times New Roman"/>
                <w:bCs/>
              </w:rPr>
              <w:t>）</w:t>
            </w:r>
            <w:r>
              <w:rPr>
                <w:rFonts w:hint="eastAsia" w:cs="Times New Roman"/>
                <w:bCs/>
                <w:lang w:eastAsia="zh-CN"/>
              </w:rPr>
              <w:t>，危险废物执行《危险废物贮存污染控制标准》（</w:t>
            </w:r>
            <w:r>
              <w:rPr>
                <w:rFonts w:hint="eastAsia" w:cs="Times New Roman"/>
                <w:bCs/>
                <w:lang w:val="en-US" w:eastAsia="zh-CN"/>
              </w:rPr>
              <w:t>GB18597-2001</w:t>
            </w:r>
            <w:r>
              <w:rPr>
                <w:rFonts w:hint="eastAsia" w:cs="Times New Roman"/>
                <w:bCs/>
                <w:lang w:eastAsia="zh-CN"/>
              </w:rPr>
              <w:t>）及修改单</w:t>
            </w:r>
            <w:r>
              <w:rPr>
                <w:rFonts w:hint="default" w:ascii="Times New Roman" w:hAnsi="Times New Roman" w:cs="Times New Roman"/>
                <w:bCs/>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265" w:type="pct"/>
            <w:vAlign w:val="center"/>
          </w:tcPr>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总量</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控制</w:t>
            </w:r>
          </w:p>
          <w:p>
            <w:pPr>
              <w:adjustRightInd w:val="0"/>
              <w:snapToGrid w:val="0"/>
              <w:ind w:firstLine="0" w:firstLineChars="0"/>
              <w:jc w:val="center"/>
              <w:rPr>
                <w:rFonts w:hint="default" w:ascii="Times New Roman" w:hAnsi="Times New Roman" w:cs="Times New Roman"/>
                <w:kern w:val="0"/>
                <w:szCs w:val="21"/>
              </w:rPr>
            </w:pPr>
            <w:r>
              <w:rPr>
                <w:rFonts w:hint="default" w:ascii="Times New Roman" w:hAnsi="Times New Roman" w:cs="Times New Roman"/>
                <w:kern w:val="0"/>
                <w:szCs w:val="21"/>
              </w:rPr>
              <w:t>指标</w:t>
            </w:r>
          </w:p>
        </w:tc>
        <w:tc>
          <w:tcPr>
            <w:tcW w:w="4734" w:type="pct"/>
            <w:vAlign w:val="center"/>
          </w:tcPr>
          <w:p>
            <w:pPr>
              <w:ind w:firstLine="480"/>
              <w:rPr>
                <w:rFonts w:hint="default" w:ascii="Times New Roman" w:hAnsi="Times New Roman" w:cs="Times New Roman"/>
              </w:rPr>
            </w:pPr>
            <w:r>
              <w:rPr>
                <w:rFonts w:hint="default" w:ascii="Times New Roman" w:hAnsi="Times New Roman" w:cs="Times New Roman"/>
              </w:rPr>
              <w:t>1、总量控制内容</w:t>
            </w:r>
          </w:p>
          <w:p>
            <w:pPr>
              <w:ind w:firstLine="480"/>
              <w:rPr>
                <w:rFonts w:hint="default" w:ascii="Times New Roman" w:hAnsi="Times New Roman" w:cs="Times New Roman"/>
              </w:rPr>
            </w:pPr>
            <w:r>
              <w:rPr>
                <w:rFonts w:hint="default" w:ascii="Times New Roman" w:hAnsi="Times New Roman" w:cs="Times New Roman"/>
              </w:rPr>
              <w:t>根据国家《建设项目主要污染物排放总量指标审核及管理暂行办法》（环发[2014]197号）并综合考虑本项目的工艺和排污特点，结合所在区域环境现状及当地环境管理部门的要求，确定本项目污染物排放总量控制因子为：</w:t>
            </w:r>
            <w:r>
              <w:rPr>
                <w:rFonts w:hint="eastAsia" w:cs="Times New Roman"/>
                <w:lang w:val="en-US" w:eastAsia="zh-CN"/>
              </w:rPr>
              <w:t>COD</w:t>
            </w:r>
            <w:r>
              <w:rPr>
                <w:rFonts w:hint="eastAsia" w:cs="Times New Roman"/>
                <w:vertAlign w:val="subscript"/>
                <w:lang w:val="en-US" w:eastAsia="zh-CN"/>
              </w:rPr>
              <w:t>Cr</w:t>
            </w:r>
            <w:r>
              <w:rPr>
                <w:rFonts w:hint="default" w:ascii="Times New Roman" w:hAnsi="Times New Roman" w:cs="Times New Roman"/>
              </w:rPr>
              <w:t>、</w:t>
            </w:r>
            <w:r>
              <w:rPr>
                <w:rFonts w:hint="eastAsia" w:cs="Times New Roman"/>
                <w:lang w:val="en-US" w:eastAsia="zh-CN"/>
              </w:rPr>
              <w:t>NH</w:t>
            </w:r>
            <w:r>
              <w:rPr>
                <w:rFonts w:hint="eastAsia" w:cs="Times New Roman"/>
                <w:vertAlign w:val="subscript"/>
                <w:lang w:val="en-US" w:eastAsia="zh-CN"/>
              </w:rPr>
              <w:t>3</w:t>
            </w:r>
            <w:r>
              <w:rPr>
                <w:rFonts w:hint="eastAsia" w:cs="Times New Roman"/>
                <w:lang w:val="en-US" w:eastAsia="zh-CN"/>
              </w:rPr>
              <w:t>-N、VOCs</w:t>
            </w:r>
            <w:r>
              <w:rPr>
                <w:rFonts w:hint="default" w:ascii="Times New Roman" w:hAnsi="Times New Roman" w:cs="Times New Roman"/>
              </w:rPr>
              <w:t>。</w:t>
            </w:r>
          </w:p>
          <w:p>
            <w:pPr>
              <w:ind w:firstLine="480"/>
              <w:rPr>
                <w:rFonts w:hint="default" w:ascii="Times New Roman" w:hAnsi="Times New Roman" w:cs="Times New Roman"/>
              </w:rPr>
            </w:pPr>
            <w:r>
              <w:rPr>
                <w:rFonts w:hint="default" w:ascii="Times New Roman" w:hAnsi="Times New Roman" w:cs="Times New Roman"/>
              </w:rPr>
              <w:t>2、项目总量控制指标情况</w:t>
            </w:r>
          </w:p>
          <w:p>
            <w:pPr>
              <w:adjustRightInd w:val="0"/>
              <w:snapToGrid w:val="0"/>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表3-</w:t>
            </w:r>
            <w:r>
              <w:rPr>
                <w:rFonts w:hint="eastAsia" w:cs="Times New Roman"/>
                <w:b/>
                <w:bCs/>
                <w:sz w:val="21"/>
                <w:szCs w:val="21"/>
                <w:lang w:val="en-US" w:eastAsia="zh-CN"/>
              </w:rPr>
              <w:t>11</w:t>
            </w:r>
            <w:r>
              <w:rPr>
                <w:rFonts w:hint="default" w:ascii="Times New Roman" w:hAnsi="Times New Roman" w:cs="Times New Roman"/>
                <w:b/>
                <w:bCs/>
                <w:sz w:val="21"/>
                <w:szCs w:val="21"/>
              </w:rPr>
              <w:t xml:space="preserve">  项目总量控制指标</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9"/>
              <w:gridCol w:w="2349"/>
              <w:gridCol w:w="1869"/>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0" w:hRule="atLeast"/>
                <w:jc w:val="center"/>
              </w:trPr>
              <w:tc>
                <w:tcPr>
                  <w:tcW w:w="1690" w:type="pct"/>
                  <w:vAlign w:val="center"/>
                </w:tcPr>
                <w:p>
                  <w:pPr>
                    <w:spacing w:line="240" w:lineRule="auto"/>
                    <w:ind w:firstLine="0" w:firstLineChars="0"/>
                    <w:jc w:val="center"/>
                    <w:rPr>
                      <w:rFonts w:hint="default" w:ascii="Times New Roman" w:hAnsi="Times New Roman" w:cs="Times New Roman"/>
                      <w:b/>
                      <w:bCs/>
                      <w:sz w:val="21"/>
                      <w:szCs w:val="21"/>
                    </w:rPr>
                  </w:pPr>
                  <w:r>
                    <w:rPr>
                      <w:rFonts w:hint="default" w:ascii="Times New Roman" w:hAnsi="Times New Roman" w:cs="Times New Roman"/>
                      <w:b/>
                      <w:bCs/>
                      <w:sz w:val="21"/>
                      <w:szCs w:val="21"/>
                    </w:rPr>
                    <w:t>总量控制污染物</w:t>
                  </w:r>
                </w:p>
              </w:tc>
              <w:tc>
                <w:tcPr>
                  <w:tcW w:w="1277" w:type="pct"/>
                  <w:vAlign w:val="center"/>
                </w:tcPr>
                <w:p>
                  <w:pPr>
                    <w:spacing w:line="240" w:lineRule="auto"/>
                    <w:ind w:firstLine="0" w:firstLineChars="0"/>
                    <w:jc w:val="center"/>
                    <w:rPr>
                      <w:rFonts w:hint="default" w:ascii="Times New Roman" w:hAnsi="Times New Roman" w:eastAsia="宋体" w:cs="Times New Roman"/>
                      <w:b/>
                      <w:bCs/>
                      <w:sz w:val="21"/>
                      <w:szCs w:val="21"/>
                      <w:lang w:val="en-US" w:eastAsia="zh-CN"/>
                    </w:rPr>
                  </w:pPr>
                  <w:r>
                    <w:rPr>
                      <w:rFonts w:hint="eastAsia" w:cs="Times New Roman"/>
                      <w:sz w:val="21"/>
                      <w:szCs w:val="21"/>
                      <w:lang w:val="en-US" w:eastAsia="zh-CN"/>
                    </w:rPr>
                    <w:t>COD</w:t>
                  </w:r>
                  <w:r>
                    <w:rPr>
                      <w:rFonts w:hint="eastAsia" w:cs="Times New Roman"/>
                      <w:sz w:val="21"/>
                      <w:szCs w:val="21"/>
                      <w:vertAlign w:val="subscript"/>
                      <w:lang w:val="en-US" w:eastAsia="zh-CN"/>
                    </w:rPr>
                    <w:t>Cr</w:t>
                  </w:r>
                </w:p>
              </w:tc>
              <w:tc>
                <w:tcPr>
                  <w:tcW w:w="1016" w:type="pct"/>
                  <w:vAlign w:val="center"/>
                </w:tcPr>
                <w:p>
                  <w:pPr>
                    <w:spacing w:line="240" w:lineRule="auto"/>
                    <w:ind w:firstLine="0" w:firstLineChars="0"/>
                    <w:jc w:val="center"/>
                    <w:rPr>
                      <w:rFonts w:hint="default" w:ascii="Times New Roman" w:hAnsi="Times New Roman" w:eastAsia="宋体" w:cs="Times New Roman"/>
                      <w:b/>
                      <w:bCs/>
                      <w:sz w:val="21"/>
                      <w:szCs w:val="21"/>
                      <w:lang w:val="en-US" w:eastAsia="zh-CN"/>
                    </w:rPr>
                  </w:pPr>
                  <w:r>
                    <w:rPr>
                      <w:rFonts w:hint="eastAsia" w:cs="Times New Roman"/>
                      <w:sz w:val="21"/>
                      <w:szCs w:val="21"/>
                      <w:lang w:val="en-US" w:eastAsia="zh-CN"/>
                    </w:rPr>
                    <w:t>NH</w:t>
                  </w:r>
                  <w:r>
                    <w:rPr>
                      <w:rFonts w:hint="eastAsia" w:cs="Times New Roman"/>
                      <w:sz w:val="21"/>
                      <w:szCs w:val="21"/>
                      <w:vertAlign w:val="subscript"/>
                      <w:lang w:val="en-US" w:eastAsia="zh-CN"/>
                    </w:rPr>
                    <w:t>3</w:t>
                  </w:r>
                  <w:r>
                    <w:rPr>
                      <w:rFonts w:hint="eastAsia" w:cs="Times New Roman"/>
                      <w:sz w:val="21"/>
                      <w:szCs w:val="21"/>
                      <w:lang w:val="en-US" w:eastAsia="zh-CN"/>
                    </w:rPr>
                    <w:t>-N</w:t>
                  </w:r>
                </w:p>
              </w:tc>
              <w:tc>
                <w:tcPr>
                  <w:tcW w:w="1016" w:type="pct"/>
                  <w:vAlign w:val="center"/>
                </w:tcPr>
                <w:p>
                  <w:pPr>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0" w:type="pct"/>
                  <w:vAlign w:val="center"/>
                </w:tcPr>
                <w:p>
                  <w:pPr>
                    <w:spacing w:line="240" w:lineRule="auto"/>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总量控制指标</w:t>
                  </w:r>
                </w:p>
              </w:tc>
              <w:tc>
                <w:tcPr>
                  <w:tcW w:w="1277" w:type="pct"/>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0.072</w:t>
                  </w:r>
                </w:p>
              </w:tc>
              <w:tc>
                <w:tcPr>
                  <w:tcW w:w="1016" w:type="pct"/>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0.007</w:t>
                  </w:r>
                </w:p>
              </w:tc>
              <w:tc>
                <w:tcPr>
                  <w:tcW w:w="1016" w:type="pct"/>
                  <w:vAlign w:val="center"/>
                </w:tcPr>
                <w:p>
                  <w:pPr>
                    <w:spacing w:line="240" w:lineRule="auto"/>
                    <w:ind w:firstLine="0" w:firstLineChars="0"/>
                    <w:jc w:val="center"/>
                    <w:rPr>
                      <w:rFonts w:hint="default" w:cs="Times New Roman"/>
                      <w:sz w:val="21"/>
                      <w:szCs w:val="21"/>
                      <w:lang w:val="en-US" w:eastAsia="zh-CN"/>
                    </w:rPr>
                  </w:pPr>
                  <w:r>
                    <w:rPr>
                      <w:rFonts w:hint="eastAsia" w:cs="Times New Roman"/>
                      <w:sz w:val="21"/>
                      <w:szCs w:val="21"/>
                      <w:lang w:val="en-US" w:eastAsia="zh-CN"/>
                    </w:rPr>
                    <w:t>0.582</w:t>
                  </w:r>
                </w:p>
              </w:tc>
            </w:tr>
          </w:tbl>
          <w:p>
            <w:pPr>
              <w:pStyle w:val="4"/>
              <w:ind w:firstLine="643"/>
              <w:rPr>
                <w:rFonts w:hint="default" w:ascii="Times New Roman" w:hAnsi="Times New Roman" w:cs="Times New Roman"/>
              </w:rPr>
            </w:pPr>
          </w:p>
        </w:tc>
      </w:tr>
    </w:tbl>
    <w:p>
      <w:pPr>
        <w:pStyle w:val="17"/>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6"/>
          <w:szCs w:val="36"/>
        </w:rPr>
        <w:br w:type="page"/>
      </w:r>
      <w:bookmarkStart w:id="7" w:name="_Toc71538799"/>
      <w:r>
        <w:rPr>
          <w:rFonts w:hint="default" w:ascii="Times New Roman" w:hAnsi="Times New Roman" w:eastAsia="黑体" w:cs="Times New Roman"/>
          <w:snapToGrid w:val="0"/>
          <w:sz w:val="30"/>
          <w:szCs w:val="30"/>
        </w:rPr>
        <w:t>四、主要环境影响和保护措施</w:t>
      </w:r>
      <w:bookmarkEnd w:id="7"/>
    </w:p>
    <w:tbl>
      <w:tblPr>
        <w:tblStyle w:val="20"/>
        <w:tblW w:w="503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92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3" w:hRule="atLeast"/>
          <w:jc w:val="center"/>
        </w:trPr>
        <w:tc>
          <w:tcPr>
            <w:tcW w:w="369" w:type="pct"/>
            <w:tcMar>
              <w:left w:w="28" w:type="dxa"/>
              <w:right w:w="28" w:type="dxa"/>
            </w:tcMar>
            <w:vAlign w:val="center"/>
          </w:tcPr>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施</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工</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期</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环</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境</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保</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护</w:t>
            </w:r>
          </w:p>
          <w:p>
            <w:pPr>
              <w:pStyle w:val="17"/>
              <w:adjustRightInd w:val="0"/>
              <w:snapToGrid w:val="0"/>
              <w:spacing w:before="0" w:beforeAutospacing="0" w:after="0" w:afterAutospacing="0"/>
              <w:ind w:firstLine="0" w:firstLineChars="0"/>
              <w:jc w:val="center"/>
              <w:rPr>
                <w:rFonts w:hint="default" w:ascii="Times New Roman" w:hAnsi="Times New Roman" w:cs="Times New Roman"/>
                <w:kern w:val="2"/>
                <w:szCs w:val="24"/>
              </w:rPr>
            </w:pPr>
            <w:r>
              <w:rPr>
                <w:rFonts w:hint="default" w:ascii="Times New Roman" w:hAnsi="Times New Roman" w:cs="Times New Roman"/>
                <w:kern w:val="2"/>
                <w:szCs w:val="24"/>
              </w:rPr>
              <w:t>措</w:t>
            </w:r>
          </w:p>
          <w:p>
            <w:pPr>
              <w:pStyle w:val="17"/>
              <w:adjustRightInd w:val="0"/>
              <w:snapToGrid w:val="0"/>
              <w:spacing w:before="0" w:beforeAutospacing="0" w:after="0" w:afterAutospacing="0"/>
              <w:ind w:firstLine="0" w:firstLineChars="0"/>
              <w:jc w:val="center"/>
              <w:rPr>
                <w:rFonts w:hint="default" w:ascii="Times New Roman" w:hAnsi="Times New Roman" w:cs="Times New Roman"/>
                <w:bCs/>
                <w:kern w:val="2"/>
                <w:sz w:val="21"/>
                <w:szCs w:val="21"/>
              </w:rPr>
            </w:pPr>
            <w:r>
              <w:rPr>
                <w:rFonts w:hint="default" w:ascii="Times New Roman" w:hAnsi="Times New Roman" w:cs="Times New Roman"/>
                <w:kern w:val="2"/>
                <w:szCs w:val="24"/>
              </w:rPr>
              <w:t>施</w:t>
            </w:r>
          </w:p>
        </w:tc>
        <w:tc>
          <w:tcPr>
            <w:tcW w:w="4630" w:type="pct"/>
            <w:vAlign w:val="center"/>
          </w:tcPr>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ind w:firstLine="480"/>
              <w:rPr>
                <w:rFonts w:hint="eastAsia"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本项目</w:t>
            </w:r>
            <w:r>
              <w:rPr>
                <w:rFonts w:hint="eastAsia" w:cs="Times New Roman"/>
                <w:color w:val="000000" w:themeColor="text1"/>
                <w:lang w:val="en-US" w:eastAsia="zh-CN"/>
                <w14:textFill>
                  <w14:solidFill>
                    <w14:schemeClr w14:val="tx1"/>
                  </w14:solidFill>
                </w14:textFill>
              </w:rPr>
              <w:t>厂房已建成</w:t>
            </w:r>
            <w:r>
              <w:rPr>
                <w:rFonts w:hint="default" w:ascii="Times New Roman" w:hAnsi="Times New Roman" w:eastAsia="宋体" w:cs="Times New Roman"/>
                <w:color w:val="000000" w:themeColor="text1"/>
                <w14:textFill>
                  <w14:solidFill>
                    <w14:schemeClr w14:val="tx1"/>
                  </w14:solidFill>
                </w14:textFill>
              </w:rPr>
              <w:t>，施工期仅为简单的设备安装，不涉及土建施工，故本环评对此不做分析。</w:t>
            </w:r>
          </w:p>
          <w:p>
            <w:pPr>
              <w:keepNext/>
              <w:keepLines/>
              <w:pageBreakBefore w:val="0"/>
              <w:numPr>
                <w:ilvl w:val="0"/>
                <w:numId w:val="0"/>
              </w:numPr>
              <w:kinsoku/>
              <w:wordWrap/>
              <w:overflowPunct/>
              <w:topLinePunct w:val="0"/>
              <w:autoSpaceDE/>
              <w:autoSpaceDN/>
              <w:bidi w:val="0"/>
              <w:adjustRightInd w:val="0"/>
              <w:snapToGrid w:val="0"/>
              <w:spacing w:line="440" w:lineRule="exact"/>
              <w:ind w:leftChars="200"/>
              <w:textAlignment w:val="auto"/>
              <w:rPr>
                <w:rFonts w:hint="eastAsia"/>
                <w:lang w:eastAsia="zh-CN"/>
              </w:rPr>
            </w:pPr>
          </w:p>
          <w:p>
            <w:pPr>
              <w:ind w:left="0" w:leftChars="0" w:firstLine="0" w:firstLineChars="0"/>
              <w:rPr>
                <w:rFonts w:hint="default" w:ascii="Times New Roman" w:hAnsi="Times New Roman" w:cs="Times New Roman"/>
                <w:color w:val="000000"/>
                <w:kern w:val="0"/>
              </w:rPr>
            </w:pPr>
          </w:p>
        </w:tc>
      </w:tr>
    </w:tbl>
    <w:p>
      <w:pPr>
        <w:adjustRightInd w:val="0"/>
        <w:snapToGrid w:val="0"/>
        <w:ind w:firstLine="0" w:firstLineChars="0"/>
        <w:jc w:val="center"/>
        <w:rPr>
          <w:rFonts w:hint="default" w:ascii="Times New Roman" w:hAnsi="Times New Roman" w:cs="Times New Roman"/>
          <w:bCs/>
          <w:szCs w:val="21"/>
        </w:rPr>
        <w:sectPr>
          <w:pgSz w:w="11907" w:h="16840"/>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tbl>
      <w:tblPr>
        <w:tblStyle w:val="20"/>
        <w:tblW w:w="50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36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33" w:hRule="atLeast"/>
          <w:jc w:val="center"/>
        </w:trPr>
        <w:tc>
          <w:tcPr>
            <w:tcW w:w="194" w:type="pct"/>
            <w:tcMar>
              <w:left w:w="28" w:type="dxa"/>
              <w:right w:w="28" w:type="dxa"/>
            </w:tcMar>
            <w:vAlign w:val="center"/>
          </w:tcPr>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运</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营</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期</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环</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境</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影</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响</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和</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保</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护</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措</w:t>
            </w:r>
          </w:p>
          <w:p>
            <w:pPr>
              <w:adjustRightInd w:val="0"/>
              <w:snapToGrid w:val="0"/>
              <w:ind w:firstLine="0" w:firstLineChars="0"/>
              <w:jc w:val="center"/>
              <w:rPr>
                <w:rFonts w:hint="default" w:ascii="Times New Roman" w:hAnsi="Times New Roman" w:cs="Times New Roman"/>
                <w:kern w:val="2"/>
                <w:szCs w:val="24"/>
              </w:rPr>
            </w:pPr>
            <w:r>
              <w:rPr>
                <w:rFonts w:hint="default" w:ascii="Times New Roman" w:hAnsi="Times New Roman" w:cs="Times New Roman"/>
                <w:bCs/>
                <w:szCs w:val="21"/>
              </w:rPr>
              <w:t>施</w:t>
            </w:r>
          </w:p>
        </w:tc>
        <w:tc>
          <w:tcPr>
            <w:tcW w:w="4805" w:type="pct"/>
            <w:vAlign w:val="top"/>
          </w:tcPr>
          <w:p>
            <w:pPr>
              <w:pStyle w:val="26"/>
              <w:numPr>
                <w:ilvl w:val="0"/>
                <w:numId w:val="10"/>
              </w:numPr>
              <w:spacing w:line="440" w:lineRule="exact"/>
              <w:ind w:firstLine="480" w:firstLineChars="200"/>
              <w:jc w:val="both"/>
              <w:rPr>
                <w:rFonts w:hint="default" w:ascii="Times New Roman" w:hAnsi="Times New Roman" w:cs="Times New Roman"/>
              </w:rPr>
            </w:pPr>
            <w:r>
              <w:rPr>
                <w:rFonts w:hint="default" w:ascii="Times New Roman" w:hAnsi="Times New Roman" w:cs="Times New Roman"/>
              </w:rPr>
              <w:t>废气</w:t>
            </w:r>
          </w:p>
          <w:p>
            <w:pPr>
              <w:pStyle w:val="26"/>
              <w:spacing w:line="440" w:lineRule="exact"/>
              <w:ind w:firstLine="480" w:firstLineChars="200"/>
              <w:jc w:val="both"/>
              <w:rPr>
                <w:rFonts w:hint="default" w:ascii="Times New Roman" w:hAnsi="Times New Roman" w:eastAsia="宋体" w:cs="Times New Roman"/>
                <w:color w:val="auto"/>
                <w:kern w:val="2"/>
                <w:lang w:val="en-US" w:eastAsia="zh-CN"/>
              </w:rPr>
            </w:pPr>
            <w:r>
              <w:rPr>
                <w:rFonts w:hint="eastAsia" w:cs="Times New Roman"/>
                <w:color w:val="auto"/>
                <w:kern w:val="2"/>
                <w:lang w:val="en-US" w:eastAsia="zh-CN"/>
              </w:rPr>
              <w:t>本项目废气主要为上料混料产生的粉尘和熔融挤出过程中产生的有机废气</w:t>
            </w:r>
            <w:r>
              <w:rPr>
                <w:rFonts w:hint="default" w:ascii="Times New Roman" w:hAnsi="Times New Roman" w:eastAsia="宋体" w:cs="Times New Roman"/>
                <w:color w:val="auto"/>
                <w:kern w:val="2"/>
                <w:lang w:val="en-US"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bCs/>
                <w:color w:val="auto"/>
                <w:sz w:val="21"/>
                <w:szCs w:val="18"/>
                <w:highlight w:val="none"/>
                <w:lang w:val="en-US" w:eastAsia="zh-CN"/>
              </w:rPr>
            </w:pPr>
            <w:r>
              <w:rPr>
                <w:rFonts w:hint="default" w:ascii="Times New Roman" w:hAnsi="Times New Roman" w:eastAsia="宋体" w:cs="Times New Roman"/>
                <w:b/>
                <w:bCs/>
                <w:color w:val="auto"/>
                <w:sz w:val="21"/>
                <w:szCs w:val="18"/>
                <w:highlight w:val="none"/>
                <w:lang w:val="en-US" w:eastAsia="zh-CN"/>
              </w:rPr>
              <w:t>表4-1 本项目废气产排情况及达标性判定汇总表</w:t>
            </w:r>
          </w:p>
          <w:tbl>
            <w:tblPr>
              <w:tblStyle w:val="20"/>
              <w:tblW w:w="498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487"/>
              <w:gridCol w:w="552"/>
              <w:gridCol w:w="523"/>
              <w:gridCol w:w="641"/>
              <w:gridCol w:w="889"/>
              <w:gridCol w:w="312"/>
              <w:gridCol w:w="833"/>
              <w:gridCol w:w="317"/>
              <w:gridCol w:w="400"/>
              <w:gridCol w:w="416"/>
              <w:gridCol w:w="650"/>
              <w:gridCol w:w="550"/>
              <w:gridCol w:w="684"/>
              <w:gridCol w:w="900"/>
              <w:gridCol w:w="416"/>
              <w:gridCol w:w="417"/>
              <w:gridCol w:w="433"/>
              <w:gridCol w:w="500"/>
              <w:gridCol w:w="341"/>
              <w:gridCol w:w="638"/>
              <w:gridCol w:w="764"/>
              <w:gridCol w:w="737"/>
              <w:gridCol w:w="609"/>
              <w:gridCol w:w="33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2"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产排污环节</w:t>
                  </w:r>
                </w:p>
              </w:tc>
              <w:tc>
                <w:tcPr>
                  <w:tcW w:w="206"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污染物种类</w:t>
                  </w:r>
                </w:p>
              </w:tc>
              <w:tc>
                <w:tcPr>
                  <w:tcW w:w="769" w:type="pct"/>
                  <w:gridSpan w:val="3"/>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产生情况</w:t>
                  </w:r>
                </w:p>
              </w:tc>
              <w:tc>
                <w:tcPr>
                  <w:tcW w:w="116"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排放形式</w:t>
                  </w:r>
                </w:p>
              </w:tc>
              <w:tc>
                <w:tcPr>
                  <w:tcW w:w="980" w:type="pct"/>
                  <w:gridSpan w:val="5"/>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治理设施</w:t>
                  </w:r>
                </w:p>
              </w:tc>
              <w:tc>
                <w:tcPr>
                  <w:tcW w:w="799" w:type="pct"/>
                  <w:gridSpan w:val="3"/>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排放情况</w:t>
                  </w:r>
                </w:p>
              </w:tc>
              <w:tc>
                <w:tcPr>
                  <w:tcW w:w="1315" w:type="pct"/>
                  <w:gridSpan w:val="7"/>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排放口基本情况</w:t>
                  </w:r>
                </w:p>
              </w:tc>
              <w:tc>
                <w:tcPr>
                  <w:tcW w:w="504" w:type="pct"/>
                  <w:gridSpan w:val="2"/>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排放标准</w:t>
                  </w:r>
                </w:p>
              </w:tc>
              <w:tc>
                <w:tcPr>
                  <w:tcW w:w="124"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是否达标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2" w:type="pct"/>
                  <w:vMerge w:val="continue"/>
                  <w:noWrap w:val="0"/>
                  <w:vAlign w:val="center"/>
                </w:tcPr>
                <w:p>
                  <w:pPr>
                    <w:spacing w:line="240" w:lineRule="auto"/>
                    <w:ind w:firstLine="0" w:firstLineChars="0"/>
                    <w:jc w:val="center"/>
                    <w:rPr>
                      <w:rFonts w:hint="default" w:ascii="Times New Roman" w:hAnsi="Times New Roman" w:cs="Times New Roman"/>
                      <w:b/>
                      <w:bCs/>
                      <w:color w:val="0000FF"/>
                      <w:sz w:val="15"/>
                      <w:szCs w:val="15"/>
                    </w:rPr>
                  </w:pPr>
                </w:p>
              </w:tc>
              <w:tc>
                <w:tcPr>
                  <w:tcW w:w="206" w:type="pct"/>
                  <w:vMerge w:val="continue"/>
                  <w:noWrap w:val="0"/>
                  <w:vAlign w:val="center"/>
                </w:tcPr>
                <w:p>
                  <w:pPr>
                    <w:spacing w:line="240" w:lineRule="auto"/>
                    <w:ind w:firstLine="0" w:firstLineChars="0"/>
                    <w:jc w:val="center"/>
                    <w:rPr>
                      <w:rFonts w:hint="default" w:ascii="Times New Roman" w:hAnsi="Times New Roman" w:cs="Times New Roman"/>
                      <w:b/>
                      <w:bCs/>
                      <w:color w:val="0000FF"/>
                      <w:sz w:val="15"/>
                      <w:szCs w:val="15"/>
                    </w:rPr>
                  </w:pPr>
                </w:p>
              </w:tc>
              <w:tc>
                <w:tcPr>
                  <w:tcW w:w="196"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产生量</w:t>
                  </w:r>
                </w:p>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（t/a）</w:t>
                  </w:r>
                </w:p>
              </w:tc>
              <w:tc>
                <w:tcPr>
                  <w:tcW w:w="240"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产生速率（kg/h）</w:t>
                  </w:r>
                </w:p>
              </w:tc>
              <w:tc>
                <w:tcPr>
                  <w:tcW w:w="333"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产生最大浓度（mg/m</w:t>
                  </w:r>
                  <w:r>
                    <w:rPr>
                      <w:rFonts w:hint="default" w:ascii="Times New Roman" w:hAnsi="Times New Roman" w:cs="Times New Roman"/>
                      <w:b/>
                      <w:bCs/>
                      <w:color w:val="0000FF"/>
                      <w:sz w:val="15"/>
                      <w:szCs w:val="15"/>
                      <w:vertAlign w:val="superscript"/>
                    </w:rPr>
                    <w:t>3</w:t>
                  </w:r>
                  <w:r>
                    <w:rPr>
                      <w:rFonts w:hint="default" w:ascii="Times New Roman" w:hAnsi="Times New Roman" w:cs="Times New Roman"/>
                      <w:b/>
                      <w:bCs/>
                      <w:color w:val="0000FF"/>
                      <w:sz w:val="15"/>
                      <w:szCs w:val="15"/>
                    </w:rPr>
                    <w:t>）</w:t>
                  </w:r>
                </w:p>
              </w:tc>
              <w:tc>
                <w:tcPr>
                  <w:tcW w:w="116" w:type="pct"/>
                  <w:vMerge w:val="continue"/>
                  <w:noWrap w:val="0"/>
                  <w:vAlign w:val="center"/>
                </w:tcPr>
                <w:p>
                  <w:pPr>
                    <w:spacing w:line="240" w:lineRule="auto"/>
                    <w:ind w:firstLine="0" w:firstLineChars="0"/>
                    <w:jc w:val="center"/>
                    <w:rPr>
                      <w:rFonts w:hint="default" w:ascii="Times New Roman" w:hAnsi="Times New Roman" w:cs="Times New Roman"/>
                      <w:b/>
                      <w:bCs/>
                      <w:color w:val="0000FF"/>
                      <w:sz w:val="15"/>
                      <w:szCs w:val="15"/>
                    </w:rPr>
                  </w:pPr>
                </w:p>
              </w:tc>
              <w:tc>
                <w:tcPr>
                  <w:tcW w:w="312"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名称</w:t>
                  </w:r>
                </w:p>
              </w:tc>
              <w:tc>
                <w:tcPr>
                  <w:tcW w:w="118"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处理能力</w:t>
                  </w:r>
                </w:p>
              </w:tc>
              <w:tc>
                <w:tcPr>
                  <w:tcW w:w="149"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收集效率</w:t>
                  </w:r>
                </w:p>
              </w:tc>
              <w:tc>
                <w:tcPr>
                  <w:tcW w:w="155"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去除率</w:t>
                  </w:r>
                </w:p>
              </w:tc>
              <w:tc>
                <w:tcPr>
                  <w:tcW w:w="243"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是否为可行技术</w:t>
                  </w:r>
                </w:p>
              </w:tc>
              <w:tc>
                <w:tcPr>
                  <w:tcW w:w="206"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排放量</w:t>
                  </w:r>
                </w:p>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（t/a）</w:t>
                  </w:r>
                </w:p>
              </w:tc>
              <w:tc>
                <w:tcPr>
                  <w:tcW w:w="256"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排放速率（kg/h）</w:t>
                  </w:r>
                </w:p>
              </w:tc>
              <w:tc>
                <w:tcPr>
                  <w:tcW w:w="337"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最大排放浓度(mg/m</w:t>
                  </w:r>
                  <w:r>
                    <w:rPr>
                      <w:rFonts w:hint="default" w:ascii="Times New Roman" w:hAnsi="Times New Roman" w:cs="Times New Roman"/>
                      <w:b/>
                      <w:bCs/>
                      <w:color w:val="0000FF"/>
                      <w:sz w:val="15"/>
                      <w:szCs w:val="15"/>
                      <w:vertAlign w:val="superscript"/>
                    </w:rPr>
                    <w:t>3</w:t>
                  </w:r>
                  <w:r>
                    <w:rPr>
                      <w:rFonts w:hint="default" w:ascii="Times New Roman" w:hAnsi="Times New Roman" w:cs="Times New Roman"/>
                      <w:b/>
                      <w:bCs/>
                      <w:color w:val="0000FF"/>
                      <w:sz w:val="15"/>
                      <w:szCs w:val="15"/>
                    </w:rPr>
                    <w:t>)</w:t>
                  </w:r>
                </w:p>
              </w:tc>
              <w:tc>
                <w:tcPr>
                  <w:tcW w:w="155"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高度</w:t>
                  </w:r>
                </w:p>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（m）</w:t>
                  </w:r>
                </w:p>
              </w:tc>
              <w:tc>
                <w:tcPr>
                  <w:tcW w:w="156"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内径</w:t>
                  </w:r>
                </w:p>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（m）</w:t>
                  </w:r>
                </w:p>
              </w:tc>
              <w:tc>
                <w:tcPr>
                  <w:tcW w:w="162"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温度</w:t>
                  </w:r>
                </w:p>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w:t>
                  </w:r>
                </w:p>
              </w:tc>
              <w:tc>
                <w:tcPr>
                  <w:tcW w:w="187"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编号及名称</w:t>
                  </w:r>
                </w:p>
              </w:tc>
              <w:tc>
                <w:tcPr>
                  <w:tcW w:w="127" w:type="pct"/>
                  <w:vMerge w:val="restar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类型</w:t>
                  </w:r>
                </w:p>
              </w:tc>
              <w:tc>
                <w:tcPr>
                  <w:tcW w:w="525" w:type="pct"/>
                  <w:gridSpan w:val="2"/>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地理坐标</w:t>
                  </w:r>
                </w:p>
              </w:tc>
              <w:tc>
                <w:tcPr>
                  <w:tcW w:w="276" w:type="pct"/>
                  <w:vMerge w:val="restart"/>
                  <w:noWrap w:val="0"/>
                  <w:vAlign w:val="center"/>
                </w:tcPr>
                <w:p>
                  <w:pPr>
                    <w:autoSpaceDE w:val="0"/>
                    <w:autoSpaceDN w:val="0"/>
                    <w:adjustRightInd w:val="0"/>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浓度</w:t>
                  </w:r>
                </w:p>
                <w:p>
                  <w:pPr>
                    <w:autoSpaceDE w:val="0"/>
                    <w:autoSpaceDN w:val="0"/>
                    <w:adjustRightInd w:val="0"/>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（mg/m</w:t>
                  </w:r>
                  <w:r>
                    <w:rPr>
                      <w:rFonts w:hint="default" w:ascii="Times New Roman" w:hAnsi="Times New Roman" w:cs="Times New Roman"/>
                      <w:b/>
                      <w:bCs/>
                      <w:color w:val="0000FF"/>
                      <w:sz w:val="15"/>
                      <w:szCs w:val="15"/>
                      <w:vertAlign w:val="superscript"/>
                    </w:rPr>
                    <w:t>3</w:t>
                  </w:r>
                  <w:r>
                    <w:rPr>
                      <w:rFonts w:hint="default" w:ascii="Times New Roman" w:hAnsi="Times New Roman" w:cs="Times New Roman"/>
                      <w:b/>
                      <w:bCs/>
                      <w:color w:val="0000FF"/>
                      <w:sz w:val="15"/>
                      <w:szCs w:val="15"/>
                    </w:rPr>
                    <w:t>）</w:t>
                  </w:r>
                </w:p>
              </w:tc>
              <w:tc>
                <w:tcPr>
                  <w:tcW w:w="228" w:type="pct"/>
                  <w:vMerge w:val="restart"/>
                  <w:noWrap w:val="0"/>
                  <w:vAlign w:val="center"/>
                </w:tcPr>
                <w:p>
                  <w:pPr>
                    <w:autoSpaceDE w:val="0"/>
                    <w:autoSpaceDN w:val="0"/>
                    <w:adjustRightInd w:val="0"/>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速率</w:t>
                  </w:r>
                </w:p>
                <w:p>
                  <w:pPr>
                    <w:autoSpaceDE w:val="0"/>
                    <w:autoSpaceDN w:val="0"/>
                    <w:adjustRightInd w:val="0"/>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（kg/h）</w:t>
                  </w:r>
                </w:p>
              </w:tc>
              <w:tc>
                <w:tcPr>
                  <w:tcW w:w="124" w:type="pct"/>
                  <w:vMerge w:val="continue"/>
                  <w:noWrap w:val="0"/>
                  <w:vAlign w:val="center"/>
                </w:tcPr>
                <w:p>
                  <w:pPr>
                    <w:autoSpaceDE w:val="0"/>
                    <w:autoSpaceDN w:val="0"/>
                    <w:adjustRightInd w:val="0"/>
                    <w:spacing w:line="240" w:lineRule="auto"/>
                    <w:ind w:firstLine="0" w:firstLineChars="0"/>
                    <w:jc w:val="center"/>
                    <w:rPr>
                      <w:rFonts w:hint="default" w:ascii="Times New Roman" w:hAnsi="Times New Roman" w:cs="Times New Roman"/>
                      <w:color w:val="0000FF"/>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2"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06"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96"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40"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333"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16"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312"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18"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49"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55"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43"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06"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56"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337"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55"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56"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62"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87"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27"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39" w:type="pc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X（m）</w:t>
                  </w:r>
                </w:p>
              </w:tc>
              <w:tc>
                <w:tcPr>
                  <w:tcW w:w="286" w:type="pct"/>
                  <w:noWrap w:val="0"/>
                  <w:vAlign w:val="center"/>
                </w:tcPr>
                <w:p>
                  <w:pPr>
                    <w:spacing w:line="240" w:lineRule="auto"/>
                    <w:ind w:firstLine="0" w:firstLineChars="0"/>
                    <w:jc w:val="center"/>
                    <w:rPr>
                      <w:rFonts w:hint="default" w:ascii="Times New Roman" w:hAnsi="Times New Roman" w:cs="Times New Roman"/>
                      <w:b/>
                      <w:bCs/>
                      <w:color w:val="0000FF"/>
                      <w:sz w:val="15"/>
                      <w:szCs w:val="15"/>
                    </w:rPr>
                  </w:pPr>
                  <w:r>
                    <w:rPr>
                      <w:rFonts w:hint="default" w:ascii="Times New Roman" w:hAnsi="Times New Roman" w:cs="Times New Roman"/>
                      <w:b/>
                      <w:bCs/>
                      <w:color w:val="0000FF"/>
                      <w:sz w:val="15"/>
                      <w:szCs w:val="15"/>
                    </w:rPr>
                    <w:t>Y（m）</w:t>
                  </w:r>
                </w:p>
              </w:tc>
              <w:tc>
                <w:tcPr>
                  <w:tcW w:w="276"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28"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124"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2" w:type="pct"/>
                  <w:vMerge w:val="restart"/>
                  <w:tcBorders>
                    <w:right w:val="single" w:color="000000" w:sz="6" w:space="0"/>
                  </w:tcBorders>
                  <w:noWrap w:val="0"/>
                  <w:vAlign w:val="center"/>
                </w:tcPr>
                <w:p>
                  <w:pPr>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混料、挤出</w:t>
                  </w:r>
                </w:p>
              </w:tc>
              <w:tc>
                <w:tcPr>
                  <w:tcW w:w="206" w:type="pct"/>
                  <w:tcBorders>
                    <w:lef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eastAsia="宋体" w:cs="Times New Roman"/>
                      <w:color w:val="0000FF"/>
                      <w:sz w:val="15"/>
                      <w:szCs w:val="15"/>
                      <w:lang w:val="en-US" w:eastAsia="zh-CN"/>
                    </w:rPr>
                    <w:t>TSP</w:t>
                  </w:r>
                </w:p>
              </w:tc>
              <w:tc>
                <w:tcPr>
                  <w:tcW w:w="1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32.409</w:t>
                  </w:r>
                </w:p>
              </w:tc>
              <w:tc>
                <w:tcPr>
                  <w:tcW w:w="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13.504</w:t>
                  </w: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900.25</w:t>
                  </w:r>
                </w:p>
              </w:tc>
              <w:tc>
                <w:tcPr>
                  <w:tcW w:w="116" w:type="pct"/>
                  <w:vMerge w:val="restart"/>
                  <w:noWrap w:val="0"/>
                  <w:vAlign w:val="center"/>
                </w:tcPr>
                <w:p>
                  <w:pPr>
                    <w:spacing w:line="240" w:lineRule="auto"/>
                    <w:ind w:firstLine="0" w:firstLineChars="0"/>
                    <w:jc w:val="center"/>
                    <w:rPr>
                      <w:rFonts w:hint="default" w:ascii="Times New Roman" w:hAnsi="Times New Roman" w:cs="Times New Roman"/>
                      <w:color w:val="0000FF"/>
                      <w:sz w:val="15"/>
                      <w:szCs w:val="15"/>
                    </w:rPr>
                  </w:pPr>
                  <w:r>
                    <w:rPr>
                      <w:rFonts w:hint="eastAsia" w:cs="Times New Roman"/>
                      <w:color w:val="0000FF"/>
                      <w:sz w:val="15"/>
                      <w:szCs w:val="15"/>
                      <w:lang w:eastAsia="zh-CN"/>
                    </w:rPr>
                    <w:t>有</w:t>
                  </w:r>
                  <w:r>
                    <w:rPr>
                      <w:rFonts w:hint="default" w:ascii="Times New Roman" w:hAnsi="Times New Roman" w:cs="Times New Roman"/>
                      <w:color w:val="0000FF"/>
                      <w:sz w:val="15"/>
                      <w:szCs w:val="15"/>
                    </w:rPr>
                    <w:t>组织</w:t>
                  </w:r>
                </w:p>
              </w:tc>
              <w:tc>
                <w:tcPr>
                  <w:tcW w:w="312" w:type="pct"/>
                  <w:noWrap w:val="0"/>
                  <w:vAlign w:val="center"/>
                </w:tcPr>
                <w:p>
                  <w:pPr>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布袋除尘器</w:t>
                  </w:r>
                </w:p>
              </w:tc>
              <w:tc>
                <w:tcPr>
                  <w:tcW w:w="118"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149" w:type="pct"/>
                  <w:noWrap w:val="0"/>
                  <w:vAlign w:val="center"/>
                </w:tcPr>
                <w:p>
                  <w:pPr>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90%</w:t>
                  </w:r>
                </w:p>
              </w:tc>
              <w:tc>
                <w:tcPr>
                  <w:tcW w:w="155" w:type="pct"/>
                  <w:noWrap w:val="0"/>
                  <w:vAlign w:val="center"/>
                </w:tcPr>
                <w:p>
                  <w:pPr>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98%</w:t>
                  </w:r>
                </w:p>
              </w:tc>
              <w:tc>
                <w:tcPr>
                  <w:tcW w:w="243" w:type="pct"/>
                  <w:vMerge w:val="restart"/>
                  <w:noWrap w:val="0"/>
                  <w:vAlign w:val="center"/>
                </w:tcPr>
                <w:p>
                  <w:pPr>
                    <w:spacing w:line="240" w:lineRule="auto"/>
                    <w:ind w:firstLine="0" w:firstLineChars="0"/>
                    <w:jc w:val="center"/>
                    <w:rPr>
                      <w:rFonts w:hint="default" w:ascii="Times New Roman" w:hAnsi="Times New Roman" w:cs="Times New Roman"/>
                      <w:color w:val="0000FF"/>
                      <w:sz w:val="15"/>
                      <w:szCs w:val="15"/>
                    </w:rPr>
                  </w:pPr>
                  <w:r>
                    <w:rPr>
                      <w:rFonts w:hint="default" w:ascii="Times New Roman" w:hAnsi="Times New Roman" w:cs="Times New Roman"/>
                      <w:color w:val="0000FF"/>
                      <w:sz w:val="15"/>
                      <w:szCs w:val="15"/>
                    </w:rPr>
                    <w:t>是</w:t>
                  </w:r>
                </w:p>
              </w:tc>
              <w:tc>
                <w:tcPr>
                  <w:tcW w:w="2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0.65</w:t>
                  </w:r>
                </w:p>
              </w:tc>
              <w:tc>
                <w:tcPr>
                  <w:tcW w:w="2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0.27</w:t>
                  </w:r>
                </w:p>
              </w:tc>
              <w:tc>
                <w:tcPr>
                  <w:tcW w:w="3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27</w:t>
                  </w:r>
                </w:p>
              </w:tc>
              <w:tc>
                <w:tcPr>
                  <w:tcW w:w="155" w:type="pct"/>
                  <w:vMerge w:val="restart"/>
                  <w:noWrap w:val="0"/>
                  <w:vAlign w:val="center"/>
                </w:tcPr>
                <w:p>
                  <w:pPr>
                    <w:spacing w:line="240" w:lineRule="auto"/>
                    <w:ind w:firstLine="0" w:firstLineChars="0"/>
                    <w:jc w:val="center"/>
                    <w:rPr>
                      <w:rFonts w:hint="default" w:ascii="Times New Roman" w:hAnsi="Times New Roman" w:eastAsia="宋体" w:cs="Times New Roman"/>
                      <w:color w:val="0000FF"/>
                      <w:kern w:val="2"/>
                      <w:sz w:val="15"/>
                      <w:szCs w:val="15"/>
                      <w:lang w:val="en-US" w:eastAsia="zh-CN" w:bidi="ar-SA"/>
                    </w:rPr>
                  </w:pPr>
                  <w:r>
                    <w:rPr>
                      <w:rFonts w:hint="eastAsia" w:cs="Times New Roman"/>
                      <w:color w:val="0000FF"/>
                      <w:kern w:val="2"/>
                      <w:sz w:val="15"/>
                      <w:szCs w:val="15"/>
                      <w:lang w:val="en-US" w:eastAsia="zh-CN" w:bidi="ar-SA"/>
                    </w:rPr>
                    <w:t>15</w:t>
                  </w:r>
                </w:p>
              </w:tc>
              <w:tc>
                <w:tcPr>
                  <w:tcW w:w="156" w:type="pct"/>
                  <w:vMerge w:val="restart"/>
                  <w:noWrap w:val="0"/>
                  <w:vAlign w:val="center"/>
                </w:tcPr>
                <w:p>
                  <w:pPr>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0.8</w:t>
                  </w:r>
                </w:p>
              </w:tc>
              <w:tc>
                <w:tcPr>
                  <w:tcW w:w="162" w:type="pct"/>
                  <w:vMerge w:val="restart"/>
                  <w:noWrap w:val="0"/>
                  <w:vAlign w:val="center"/>
                </w:tcPr>
                <w:p>
                  <w:pPr>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45</w:t>
                  </w:r>
                </w:p>
              </w:tc>
              <w:tc>
                <w:tcPr>
                  <w:tcW w:w="187" w:type="pct"/>
                  <w:vMerge w:val="restart"/>
                  <w:noWrap w:val="0"/>
                  <w:vAlign w:val="center"/>
                </w:tcPr>
                <w:p>
                  <w:pPr>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DA001</w:t>
                  </w:r>
                </w:p>
              </w:tc>
              <w:tc>
                <w:tcPr>
                  <w:tcW w:w="127" w:type="pct"/>
                  <w:vMerge w:val="restar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eastAsia="zh-CN"/>
                    </w:rPr>
                  </w:pPr>
                  <w:r>
                    <w:rPr>
                      <w:rFonts w:hint="eastAsia" w:cs="Times New Roman"/>
                      <w:color w:val="0000FF"/>
                      <w:sz w:val="15"/>
                      <w:szCs w:val="15"/>
                      <w:lang w:eastAsia="zh-CN"/>
                    </w:rPr>
                    <w:t>一般排放口</w:t>
                  </w:r>
                </w:p>
              </w:tc>
              <w:tc>
                <w:tcPr>
                  <w:tcW w:w="239" w:type="pct"/>
                  <w:vMerge w:val="restart"/>
                  <w:noWrap w:val="0"/>
                  <w:vAlign w:val="center"/>
                </w:tcPr>
                <w:p>
                  <w:pPr>
                    <w:spacing w:line="240" w:lineRule="auto"/>
                    <w:ind w:firstLine="0" w:firstLineChars="0"/>
                    <w:jc w:val="center"/>
                    <w:rPr>
                      <w:rFonts w:hint="default" w:ascii="Times New Roman" w:hAnsi="Times New Roman" w:cs="Times New Roman"/>
                      <w:color w:val="0000FF"/>
                      <w:sz w:val="15"/>
                      <w:szCs w:val="15"/>
                    </w:rPr>
                  </w:pPr>
                  <w:r>
                    <w:rPr>
                      <w:rFonts w:hint="default" w:ascii="Times New Roman" w:hAnsi="Times New Roman" w:cs="Times New Roman"/>
                      <w:color w:val="0000FF"/>
                      <w:sz w:val="15"/>
                      <w:szCs w:val="15"/>
                    </w:rPr>
                    <w:t>117.812658</w:t>
                  </w:r>
                </w:p>
              </w:tc>
              <w:tc>
                <w:tcPr>
                  <w:tcW w:w="286" w:type="pct"/>
                  <w:vMerge w:val="restart"/>
                  <w:noWrap w:val="0"/>
                  <w:vAlign w:val="center"/>
                </w:tcPr>
                <w:p>
                  <w:pPr>
                    <w:spacing w:line="240" w:lineRule="auto"/>
                    <w:ind w:firstLine="0" w:firstLineChars="0"/>
                    <w:jc w:val="center"/>
                    <w:rPr>
                      <w:rFonts w:hint="default" w:ascii="Times New Roman" w:hAnsi="Times New Roman" w:cs="Times New Roman"/>
                      <w:color w:val="0000FF"/>
                      <w:sz w:val="15"/>
                      <w:szCs w:val="15"/>
                    </w:rPr>
                  </w:pPr>
                  <w:r>
                    <w:rPr>
                      <w:rFonts w:hint="default" w:ascii="Times New Roman" w:hAnsi="Times New Roman" w:cs="Times New Roman"/>
                      <w:color w:val="0000FF"/>
                      <w:sz w:val="15"/>
                      <w:szCs w:val="15"/>
                    </w:rPr>
                    <w:t>29.260156</w:t>
                  </w:r>
                </w:p>
              </w:tc>
              <w:tc>
                <w:tcPr>
                  <w:tcW w:w="276" w:type="pct"/>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120</w:t>
                  </w:r>
                </w:p>
              </w:tc>
              <w:tc>
                <w:tcPr>
                  <w:tcW w:w="228" w:type="pct"/>
                  <w:noWrap w:val="0"/>
                  <w:vAlign w:val="center"/>
                </w:tcPr>
                <w:p>
                  <w:pPr>
                    <w:autoSpaceDE w:val="0"/>
                    <w:autoSpaceDN w:val="0"/>
                    <w:adjustRightInd w:val="0"/>
                    <w:spacing w:line="240" w:lineRule="auto"/>
                    <w:ind w:firstLine="0" w:firstLineChars="0"/>
                    <w:jc w:val="center"/>
                    <w:rPr>
                      <w:rFonts w:hint="default"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3.5</w:t>
                  </w:r>
                </w:p>
              </w:tc>
              <w:tc>
                <w:tcPr>
                  <w:tcW w:w="124" w:type="pct"/>
                  <w:noWrap w:val="0"/>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0000FF"/>
                      <w:sz w:val="15"/>
                      <w:szCs w:val="15"/>
                      <w:lang w:eastAsia="zh-CN"/>
                    </w:rPr>
                  </w:pPr>
                  <w:r>
                    <w:rPr>
                      <w:rFonts w:hint="eastAsia" w:cs="Times New Roman"/>
                      <w:color w:val="0000FF"/>
                      <w:sz w:val="15"/>
                      <w:szCs w:val="15"/>
                      <w:lang w:eastAsia="zh-CN"/>
                    </w:rPr>
                    <w:t>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2" w:type="pct"/>
                  <w:vMerge w:val="continue"/>
                  <w:tcBorders>
                    <w:right w:val="single" w:color="000000" w:sz="6" w:space="0"/>
                  </w:tcBorders>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206" w:type="pct"/>
                  <w:tcBorders>
                    <w:lef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eastAsia="宋体" w:cs="Times New Roman"/>
                      <w:color w:val="0000FF"/>
                      <w:sz w:val="15"/>
                      <w:szCs w:val="15"/>
                      <w:lang w:val="en-US" w:eastAsia="zh-CN"/>
                    </w:rPr>
                    <w:t>非甲烷总烃</w:t>
                  </w:r>
                </w:p>
              </w:tc>
              <w:tc>
                <w:tcPr>
                  <w:tcW w:w="1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3.879</w:t>
                  </w:r>
                </w:p>
              </w:tc>
              <w:tc>
                <w:tcPr>
                  <w:tcW w:w="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1.616</w:t>
                  </w: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107.75</w:t>
                  </w:r>
                </w:p>
              </w:tc>
              <w:tc>
                <w:tcPr>
                  <w:tcW w:w="116" w:type="pct"/>
                  <w:vMerge w:val="continue"/>
                  <w:noWrap w:val="0"/>
                  <w:vAlign w:val="center"/>
                </w:tcPr>
                <w:p>
                  <w:pPr>
                    <w:spacing w:line="240" w:lineRule="auto"/>
                    <w:ind w:firstLine="0" w:firstLineChars="0"/>
                    <w:jc w:val="center"/>
                    <w:rPr>
                      <w:rFonts w:hint="eastAsia" w:cs="Times New Roman"/>
                      <w:color w:val="0000FF"/>
                      <w:sz w:val="15"/>
                      <w:szCs w:val="15"/>
                      <w:lang w:eastAsia="zh-CN"/>
                    </w:rPr>
                  </w:pPr>
                </w:p>
              </w:tc>
              <w:tc>
                <w:tcPr>
                  <w:tcW w:w="312" w:type="pct"/>
                  <w:noWrap w:val="0"/>
                  <w:vAlign w:val="center"/>
                </w:tcPr>
                <w:p>
                  <w:pPr>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UV光解+两级活性炭</w:t>
                  </w:r>
                </w:p>
              </w:tc>
              <w:tc>
                <w:tcPr>
                  <w:tcW w:w="118" w:type="pct"/>
                  <w:noWrap w:val="0"/>
                  <w:vAlign w:val="center"/>
                </w:tcPr>
                <w:p>
                  <w:pPr>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w:t>
                  </w:r>
                </w:p>
              </w:tc>
              <w:tc>
                <w:tcPr>
                  <w:tcW w:w="149" w:type="pct"/>
                  <w:noWrap w:val="0"/>
                  <w:vAlign w:val="center"/>
                </w:tcPr>
                <w:p>
                  <w:pPr>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90%</w:t>
                  </w:r>
                </w:p>
              </w:tc>
              <w:tc>
                <w:tcPr>
                  <w:tcW w:w="155" w:type="pct"/>
                  <w:noWrap w:val="0"/>
                  <w:vAlign w:val="center"/>
                </w:tcPr>
                <w:p>
                  <w:pPr>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85%</w:t>
                  </w:r>
                </w:p>
              </w:tc>
              <w:tc>
                <w:tcPr>
                  <w:tcW w:w="243"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0.582</w:t>
                  </w:r>
                </w:p>
              </w:tc>
              <w:tc>
                <w:tcPr>
                  <w:tcW w:w="25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0.243</w:t>
                  </w:r>
                </w:p>
              </w:tc>
              <w:tc>
                <w:tcPr>
                  <w:tcW w:w="3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16.167</w:t>
                  </w:r>
                </w:p>
              </w:tc>
              <w:tc>
                <w:tcPr>
                  <w:tcW w:w="155" w:type="pct"/>
                  <w:vMerge w:val="continue"/>
                  <w:noWrap w:val="0"/>
                  <w:vAlign w:val="center"/>
                </w:tcPr>
                <w:p>
                  <w:pPr>
                    <w:spacing w:line="240" w:lineRule="auto"/>
                    <w:ind w:firstLine="0" w:firstLineChars="0"/>
                    <w:jc w:val="center"/>
                    <w:rPr>
                      <w:rFonts w:hint="eastAsia" w:cs="Times New Roman"/>
                      <w:color w:val="0000FF"/>
                      <w:kern w:val="2"/>
                      <w:sz w:val="15"/>
                      <w:szCs w:val="15"/>
                      <w:lang w:val="en-US" w:eastAsia="zh-CN" w:bidi="ar-SA"/>
                    </w:rPr>
                  </w:pPr>
                </w:p>
              </w:tc>
              <w:tc>
                <w:tcPr>
                  <w:tcW w:w="156" w:type="pct"/>
                  <w:vMerge w:val="continue"/>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162" w:type="pct"/>
                  <w:vMerge w:val="continue"/>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187" w:type="pct"/>
                  <w:vMerge w:val="continue"/>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127" w:type="pct"/>
                  <w:vMerge w:val="continue"/>
                  <w:noWrap w:val="0"/>
                  <w:vAlign w:val="center"/>
                </w:tcPr>
                <w:p>
                  <w:pPr>
                    <w:spacing w:line="240" w:lineRule="auto"/>
                    <w:ind w:firstLine="0" w:firstLineChars="0"/>
                    <w:jc w:val="center"/>
                    <w:rPr>
                      <w:rFonts w:hint="eastAsia" w:cs="Times New Roman"/>
                      <w:color w:val="0000FF"/>
                      <w:sz w:val="15"/>
                      <w:szCs w:val="15"/>
                      <w:lang w:eastAsia="zh-CN"/>
                    </w:rPr>
                  </w:pPr>
                </w:p>
              </w:tc>
              <w:tc>
                <w:tcPr>
                  <w:tcW w:w="239"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86" w:type="pct"/>
                  <w:vMerge w:val="continue"/>
                  <w:noWrap w:val="0"/>
                  <w:vAlign w:val="center"/>
                </w:tcPr>
                <w:p>
                  <w:pPr>
                    <w:spacing w:line="240" w:lineRule="auto"/>
                    <w:ind w:firstLine="0" w:firstLineChars="0"/>
                    <w:jc w:val="center"/>
                    <w:rPr>
                      <w:rFonts w:hint="default" w:ascii="Times New Roman" w:hAnsi="Times New Roman" w:cs="Times New Roman"/>
                      <w:color w:val="0000FF"/>
                      <w:sz w:val="15"/>
                      <w:szCs w:val="15"/>
                    </w:rPr>
                  </w:pPr>
                </w:p>
              </w:tc>
              <w:tc>
                <w:tcPr>
                  <w:tcW w:w="276" w:type="pct"/>
                  <w:noWrap w:val="0"/>
                  <w:vAlign w:val="center"/>
                </w:tcPr>
                <w:p>
                  <w:pPr>
                    <w:pStyle w:val="76"/>
                    <w:snapToGrid w:val="0"/>
                    <w:ind w:firstLine="0" w:firstLineChars="0"/>
                    <w:rPr>
                      <w:rFonts w:hint="default" w:ascii="Times New Roman" w:hAnsi="Times New Roman" w:eastAsia="宋体" w:cs="Times New Roman"/>
                      <w:color w:val="0000FF"/>
                      <w:kern w:val="2"/>
                      <w:sz w:val="15"/>
                      <w:szCs w:val="15"/>
                      <w:lang w:val="en-US" w:eastAsia="zh-CN" w:bidi="ar-SA"/>
                    </w:rPr>
                  </w:pPr>
                  <w:r>
                    <w:rPr>
                      <w:rFonts w:hint="eastAsia" w:cs="Times New Roman"/>
                      <w:color w:val="0000FF"/>
                      <w:kern w:val="2"/>
                      <w:sz w:val="15"/>
                      <w:szCs w:val="15"/>
                      <w:lang w:val="en-US" w:eastAsia="zh-CN" w:bidi="ar-SA"/>
                    </w:rPr>
                    <w:t>20</w:t>
                  </w:r>
                </w:p>
              </w:tc>
              <w:tc>
                <w:tcPr>
                  <w:tcW w:w="228" w:type="pct"/>
                  <w:noWrap w:val="0"/>
                  <w:vAlign w:val="center"/>
                </w:tcPr>
                <w:p>
                  <w:pPr>
                    <w:pStyle w:val="76"/>
                    <w:snapToGrid w:val="0"/>
                    <w:ind w:firstLine="0" w:firstLineChars="0"/>
                    <w:rPr>
                      <w:rFonts w:hint="eastAsia" w:ascii="Times New Roman" w:hAnsi="Times New Roman" w:eastAsia="宋体" w:cs="Times New Roman"/>
                      <w:color w:val="0000FF"/>
                      <w:kern w:val="2"/>
                      <w:sz w:val="15"/>
                      <w:szCs w:val="15"/>
                      <w:lang w:val="en-US" w:eastAsia="zh-CN" w:bidi="ar-SA"/>
                    </w:rPr>
                  </w:pPr>
                  <w:r>
                    <w:rPr>
                      <w:rFonts w:hint="eastAsia" w:ascii="Times New Roman" w:hAnsi="Times New Roman" w:eastAsia="宋体" w:cs="Times New Roman"/>
                      <w:color w:val="0000FF"/>
                      <w:kern w:val="2"/>
                      <w:sz w:val="15"/>
                      <w:szCs w:val="15"/>
                      <w:lang w:val="en-US" w:eastAsia="zh-CN" w:bidi="ar-SA"/>
                    </w:rPr>
                    <w:t>2.6</w:t>
                  </w:r>
                </w:p>
              </w:tc>
              <w:tc>
                <w:tcPr>
                  <w:tcW w:w="124" w:type="pct"/>
                  <w:noWrap w:val="0"/>
                  <w:vAlign w:val="center"/>
                </w:tcPr>
                <w:p>
                  <w:pPr>
                    <w:autoSpaceDE w:val="0"/>
                    <w:autoSpaceDN w:val="0"/>
                    <w:adjustRightInd w:val="0"/>
                    <w:spacing w:line="240" w:lineRule="auto"/>
                    <w:ind w:firstLine="0" w:firstLineChars="0"/>
                    <w:jc w:val="center"/>
                    <w:rPr>
                      <w:rFonts w:hint="eastAsia" w:cs="Times New Roman"/>
                      <w:color w:val="0000FF"/>
                      <w:sz w:val="15"/>
                      <w:szCs w:val="15"/>
                      <w:lang w:eastAsia="zh-CN"/>
                    </w:rPr>
                  </w:pPr>
                  <w:r>
                    <w:rPr>
                      <w:rFonts w:hint="eastAsia" w:cs="Times New Roman"/>
                      <w:color w:val="0000FF"/>
                      <w:sz w:val="15"/>
                      <w:szCs w:val="15"/>
                      <w:lang w:eastAsia="zh-CN"/>
                    </w:rPr>
                    <w:t>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182" w:type="pct"/>
                  <w:vMerge w:val="continue"/>
                  <w:tcBorders>
                    <w:right w:val="single" w:color="000000" w:sz="6" w:space="0"/>
                  </w:tcBorders>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206" w:type="pct"/>
                  <w:tcBorders>
                    <w:lef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eastAsia="宋体" w:cs="Times New Roman"/>
                      <w:color w:val="0000FF"/>
                      <w:sz w:val="15"/>
                      <w:szCs w:val="15"/>
                      <w:lang w:val="en-US" w:eastAsia="zh-CN"/>
                    </w:rPr>
                    <w:t>TSP</w:t>
                  </w:r>
                </w:p>
              </w:tc>
              <w:tc>
                <w:tcPr>
                  <w:tcW w:w="1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0.72</w:t>
                  </w:r>
                </w:p>
              </w:tc>
              <w:tc>
                <w:tcPr>
                  <w:tcW w:w="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0.3</w:t>
                  </w: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eastAsia="宋体" w:cs="Times New Roman"/>
                      <w:color w:val="0000FF"/>
                      <w:sz w:val="15"/>
                      <w:szCs w:val="15"/>
                      <w:lang w:val="en-US" w:eastAsia="zh-CN"/>
                    </w:rPr>
                    <w:t>/</w:t>
                  </w:r>
                </w:p>
              </w:tc>
              <w:tc>
                <w:tcPr>
                  <w:tcW w:w="116" w:type="pct"/>
                  <w:vMerge w:val="restar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eastAsia="zh-CN"/>
                    </w:rPr>
                  </w:pPr>
                  <w:r>
                    <w:rPr>
                      <w:rFonts w:hint="eastAsia" w:cs="Times New Roman"/>
                      <w:color w:val="0000FF"/>
                      <w:sz w:val="15"/>
                      <w:szCs w:val="15"/>
                      <w:lang w:eastAsia="zh-CN"/>
                    </w:rPr>
                    <w:t>无组织</w:t>
                  </w:r>
                </w:p>
              </w:tc>
              <w:tc>
                <w:tcPr>
                  <w:tcW w:w="312" w:type="pct"/>
                  <w:noWrap w:val="0"/>
                  <w:vAlign w:val="center"/>
                </w:tcPr>
                <w:p>
                  <w:pPr>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w:t>
                  </w:r>
                </w:p>
              </w:tc>
              <w:tc>
                <w:tcPr>
                  <w:tcW w:w="118"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149"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155" w:type="pct"/>
                  <w:noWrap w:val="0"/>
                  <w:vAlign w:val="center"/>
                </w:tcPr>
                <w:p>
                  <w:pPr>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w:t>
                  </w:r>
                </w:p>
              </w:tc>
              <w:tc>
                <w:tcPr>
                  <w:tcW w:w="243"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0.72</w:t>
                  </w:r>
                </w:p>
              </w:tc>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0.3</w:t>
                  </w:r>
                </w:p>
              </w:tc>
              <w:tc>
                <w:tcPr>
                  <w:tcW w:w="3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eastAsia="宋体" w:cs="Times New Roman"/>
                      <w:color w:val="0000FF"/>
                      <w:sz w:val="15"/>
                      <w:szCs w:val="15"/>
                      <w:lang w:val="en-US" w:eastAsia="zh-CN"/>
                    </w:rPr>
                    <w:t>/</w:t>
                  </w:r>
                </w:p>
              </w:tc>
              <w:tc>
                <w:tcPr>
                  <w:tcW w:w="155"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156"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162"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187"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127"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239"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286" w:type="pct"/>
                  <w:noWrap w:val="0"/>
                  <w:vAlign w:val="center"/>
                </w:tcPr>
                <w:p>
                  <w:pPr>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276" w:type="pct"/>
                  <w:noWrap w:val="0"/>
                  <w:vAlign w:val="center"/>
                </w:tcPr>
                <w:p>
                  <w:pPr>
                    <w:autoSpaceDE w:val="0"/>
                    <w:autoSpaceDN w:val="0"/>
                    <w:adjustRightInd w:val="0"/>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1.0</w:t>
                  </w:r>
                </w:p>
              </w:tc>
              <w:tc>
                <w:tcPr>
                  <w:tcW w:w="228" w:type="pct"/>
                  <w:noWrap w:val="0"/>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c>
                <w:tcPr>
                  <w:tcW w:w="124" w:type="pct"/>
                  <w:noWrap w:val="0"/>
                  <w:vAlign w:val="center"/>
                </w:tcPr>
                <w:p>
                  <w:pPr>
                    <w:autoSpaceDE w:val="0"/>
                    <w:autoSpaceDN w:val="0"/>
                    <w:adjustRightInd w:val="0"/>
                    <w:spacing w:line="240" w:lineRule="auto"/>
                    <w:ind w:firstLine="0" w:firstLineChars="0"/>
                    <w:jc w:val="center"/>
                    <w:rPr>
                      <w:rFonts w:hint="eastAsia" w:ascii="Times New Roman" w:hAnsi="Times New Roman" w:eastAsia="宋体" w:cs="Times New Roman"/>
                      <w:color w:val="0000FF"/>
                      <w:sz w:val="15"/>
                      <w:szCs w:val="15"/>
                      <w:lang w:val="en-US" w:eastAsia="zh-CN"/>
                    </w:rPr>
                  </w:pPr>
                  <w:r>
                    <w:rPr>
                      <w:rFonts w:hint="eastAsia" w:cs="Times New Roman"/>
                      <w:color w:val="0000FF"/>
                      <w:sz w:val="15"/>
                      <w:szCs w:val="15"/>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2" w:type="pct"/>
                  <w:vMerge w:val="continue"/>
                  <w:tcBorders>
                    <w:right w:val="single" w:color="000000" w:sz="6" w:space="0"/>
                  </w:tcBorders>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206" w:type="pct"/>
                  <w:tcBorders>
                    <w:lef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s="Times New Roman"/>
                      <w:color w:val="0000FF"/>
                      <w:sz w:val="15"/>
                      <w:szCs w:val="15"/>
                      <w:lang w:val="en-US" w:eastAsia="zh-CN"/>
                    </w:rPr>
                  </w:pPr>
                  <w:r>
                    <w:rPr>
                      <w:rFonts w:hint="eastAsia" w:eastAsia="宋体" w:cs="Times New Roman"/>
                      <w:color w:val="0000FF"/>
                      <w:sz w:val="15"/>
                      <w:szCs w:val="15"/>
                      <w:lang w:val="en-US" w:eastAsia="zh-CN"/>
                    </w:rPr>
                    <w:t>非甲烷总烃</w:t>
                  </w:r>
                </w:p>
              </w:tc>
              <w:tc>
                <w:tcPr>
                  <w:tcW w:w="19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0.431</w:t>
                  </w:r>
                </w:p>
              </w:tc>
              <w:tc>
                <w:tcPr>
                  <w:tcW w:w="24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cs="Times New Roman"/>
                      <w:color w:val="0000FF"/>
                      <w:sz w:val="15"/>
                      <w:szCs w:val="15"/>
                      <w:lang w:val="en-US" w:eastAsia="zh-CN"/>
                    </w:rPr>
                  </w:pPr>
                  <w:r>
                    <w:rPr>
                      <w:rFonts w:hint="eastAsia" w:cs="Times New Roman"/>
                      <w:color w:val="0000FF"/>
                      <w:sz w:val="15"/>
                      <w:szCs w:val="15"/>
                      <w:lang w:val="en-US" w:eastAsia="zh-CN"/>
                    </w:rPr>
                    <w:t>0.18</w:t>
                  </w:r>
                </w:p>
              </w:tc>
              <w:tc>
                <w:tcPr>
                  <w:tcW w:w="33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s="Times New Roman"/>
                      <w:color w:val="0000FF"/>
                      <w:sz w:val="15"/>
                      <w:szCs w:val="15"/>
                      <w:lang w:val="en-US" w:eastAsia="zh-CN"/>
                    </w:rPr>
                  </w:pPr>
                  <w:r>
                    <w:rPr>
                      <w:rFonts w:hint="eastAsia" w:eastAsia="宋体" w:cs="Times New Roman"/>
                      <w:color w:val="0000FF"/>
                      <w:sz w:val="15"/>
                      <w:szCs w:val="15"/>
                      <w:lang w:val="en-US" w:eastAsia="zh-CN"/>
                    </w:rPr>
                    <w:t>/</w:t>
                  </w:r>
                </w:p>
              </w:tc>
              <w:tc>
                <w:tcPr>
                  <w:tcW w:w="116" w:type="pct"/>
                  <w:vMerge w:val="continue"/>
                  <w:noWrap w:val="0"/>
                  <w:vAlign w:val="center"/>
                </w:tcPr>
                <w:p>
                  <w:pPr>
                    <w:spacing w:line="240" w:lineRule="auto"/>
                    <w:ind w:firstLine="0" w:firstLineChars="0"/>
                    <w:jc w:val="center"/>
                    <w:rPr>
                      <w:rFonts w:hint="eastAsia" w:cs="Times New Roman"/>
                      <w:color w:val="0000FF"/>
                      <w:sz w:val="15"/>
                      <w:szCs w:val="15"/>
                      <w:lang w:eastAsia="zh-CN"/>
                    </w:rPr>
                  </w:pPr>
                </w:p>
              </w:tc>
              <w:tc>
                <w:tcPr>
                  <w:tcW w:w="312" w:type="pct"/>
                  <w:noWrap w:val="0"/>
                  <w:vAlign w:val="center"/>
                </w:tcPr>
                <w:p>
                  <w:pPr>
                    <w:spacing w:line="240" w:lineRule="auto"/>
                    <w:ind w:firstLine="0" w:firstLineChars="0"/>
                    <w:jc w:val="center"/>
                    <w:rPr>
                      <w:rFonts w:hint="eastAsia" w:cs="Times New Roman"/>
                      <w:color w:val="0000FF"/>
                      <w:sz w:val="15"/>
                      <w:szCs w:val="15"/>
                      <w:lang w:val="en-US" w:eastAsia="zh-CN"/>
                    </w:rPr>
                  </w:pPr>
                  <w:r>
                    <w:rPr>
                      <w:rFonts w:hint="eastAsia" w:cs="Times New Roman"/>
                      <w:color w:val="0000FF"/>
                      <w:sz w:val="15"/>
                      <w:szCs w:val="15"/>
                      <w:lang w:val="en-US" w:eastAsia="zh-CN"/>
                    </w:rPr>
                    <w:t>/</w:t>
                  </w:r>
                </w:p>
              </w:tc>
              <w:tc>
                <w:tcPr>
                  <w:tcW w:w="118" w:type="pct"/>
                  <w:noWrap w:val="0"/>
                  <w:vAlign w:val="center"/>
                </w:tcPr>
                <w:p>
                  <w:pPr>
                    <w:spacing w:line="240" w:lineRule="auto"/>
                    <w:ind w:firstLine="0" w:firstLineChars="0"/>
                    <w:jc w:val="center"/>
                    <w:rPr>
                      <w:rFonts w:hint="eastAsia" w:cs="Times New Roman"/>
                      <w:color w:val="0000FF"/>
                      <w:sz w:val="15"/>
                      <w:szCs w:val="15"/>
                      <w:lang w:val="en-US" w:eastAsia="zh-CN"/>
                    </w:rPr>
                  </w:pPr>
                  <w:r>
                    <w:rPr>
                      <w:rFonts w:hint="eastAsia" w:cs="Times New Roman"/>
                      <w:color w:val="0000FF"/>
                      <w:sz w:val="15"/>
                      <w:szCs w:val="15"/>
                      <w:lang w:val="en-US" w:eastAsia="zh-CN"/>
                    </w:rPr>
                    <w:t>/</w:t>
                  </w:r>
                </w:p>
              </w:tc>
              <w:tc>
                <w:tcPr>
                  <w:tcW w:w="149" w:type="pct"/>
                  <w:noWrap w:val="0"/>
                  <w:vAlign w:val="center"/>
                </w:tcPr>
                <w:p>
                  <w:pPr>
                    <w:spacing w:line="240" w:lineRule="auto"/>
                    <w:ind w:firstLine="0" w:firstLineChars="0"/>
                    <w:jc w:val="center"/>
                    <w:rPr>
                      <w:rFonts w:hint="eastAsia" w:cs="Times New Roman"/>
                      <w:color w:val="0000FF"/>
                      <w:sz w:val="15"/>
                      <w:szCs w:val="15"/>
                      <w:lang w:val="en-US" w:eastAsia="zh-CN"/>
                    </w:rPr>
                  </w:pPr>
                  <w:r>
                    <w:rPr>
                      <w:rFonts w:hint="eastAsia" w:cs="Times New Roman"/>
                      <w:color w:val="0000FF"/>
                      <w:sz w:val="15"/>
                      <w:szCs w:val="15"/>
                      <w:lang w:val="en-US" w:eastAsia="zh-CN"/>
                    </w:rPr>
                    <w:t>/</w:t>
                  </w:r>
                </w:p>
              </w:tc>
              <w:tc>
                <w:tcPr>
                  <w:tcW w:w="155" w:type="pct"/>
                  <w:noWrap w:val="0"/>
                  <w:vAlign w:val="center"/>
                </w:tcPr>
                <w:p>
                  <w:pPr>
                    <w:spacing w:line="240" w:lineRule="auto"/>
                    <w:ind w:firstLine="0" w:firstLineChars="0"/>
                    <w:jc w:val="center"/>
                    <w:rPr>
                      <w:rFonts w:hint="eastAsia" w:cs="Times New Roman"/>
                      <w:color w:val="0000FF"/>
                      <w:sz w:val="15"/>
                      <w:szCs w:val="15"/>
                      <w:lang w:val="en-US" w:eastAsia="zh-CN"/>
                    </w:rPr>
                  </w:pPr>
                  <w:r>
                    <w:rPr>
                      <w:rFonts w:hint="eastAsia" w:cs="Times New Roman"/>
                      <w:color w:val="0000FF"/>
                      <w:sz w:val="15"/>
                      <w:szCs w:val="15"/>
                      <w:lang w:val="en-US" w:eastAsia="zh-CN"/>
                    </w:rPr>
                    <w:t>/</w:t>
                  </w:r>
                </w:p>
              </w:tc>
              <w:tc>
                <w:tcPr>
                  <w:tcW w:w="243" w:type="pct"/>
                  <w:noWrap w:val="0"/>
                  <w:vAlign w:val="center"/>
                </w:tcPr>
                <w:p>
                  <w:pPr>
                    <w:spacing w:line="240" w:lineRule="auto"/>
                    <w:ind w:firstLine="0" w:firstLineChars="0"/>
                    <w:jc w:val="center"/>
                    <w:rPr>
                      <w:rFonts w:hint="eastAsia" w:cs="Times New Roman"/>
                      <w:color w:val="0000FF"/>
                      <w:sz w:val="15"/>
                      <w:szCs w:val="15"/>
                      <w:lang w:val="en-US" w:eastAsia="zh-CN"/>
                    </w:rPr>
                  </w:pPr>
                  <w:r>
                    <w:rPr>
                      <w:rFonts w:hint="eastAsia" w:cs="Times New Roman"/>
                      <w:color w:val="0000FF"/>
                      <w:sz w:val="15"/>
                      <w:szCs w:val="15"/>
                      <w:lang w:val="en-US" w:eastAsia="zh-CN"/>
                    </w:rPr>
                    <w:t>/</w:t>
                  </w:r>
                </w:p>
              </w:tc>
              <w:tc>
                <w:tcPr>
                  <w:tcW w:w="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s="Times New Roman"/>
                      <w:color w:val="0000FF"/>
                      <w:sz w:val="15"/>
                      <w:szCs w:val="15"/>
                      <w:lang w:val="en-US" w:eastAsia="zh-CN"/>
                    </w:rPr>
                  </w:pPr>
                  <w:r>
                    <w:rPr>
                      <w:rFonts w:hint="eastAsia" w:cs="Times New Roman"/>
                      <w:color w:val="0000FF"/>
                      <w:sz w:val="15"/>
                      <w:szCs w:val="15"/>
                      <w:lang w:val="en-US" w:eastAsia="zh-CN"/>
                    </w:rPr>
                    <w:t>0.431</w:t>
                  </w:r>
                </w:p>
              </w:tc>
              <w:tc>
                <w:tcPr>
                  <w:tcW w:w="68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s="Times New Roman"/>
                      <w:color w:val="0000FF"/>
                      <w:sz w:val="15"/>
                      <w:szCs w:val="15"/>
                      <w:lang w:val="en-US" w:eastAsia="zh-CN"/>
                    </w:rPr>
                  </w:pPr>
                  <w:r>
                    <w:rPr>
                      <w:rFonts w:hint="eastAsia" w:cs="Times New Roman"/>
                      <w:color w:val="0000FF"/>
                      <w:sz w:val="15"/>
                      <w:szCs w:val="15"/>
                      <w:lang w:val="en-US" w:eastAsia="zh-CN"/>
                    </w:rPr>
                    <w:t>0.18</w:t>
                  </w:r>
                </w:p>
              </w:tc>
              <w:tc>
                <w:tcPr>
                  <w:tcW w:w="33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cs="Times New Roman"/>
                      <w:color w:val="0000FF"/>
                      <w:sz w:val="15"/>
                      <w:szCs w:val="15"/>
                      <w:lang w:val="en-US" w:eastAsia="zh-CN"/>
                    </w:rPr>
                  </w:pPr>
                  <w:r>
                    <w:rPr>
                      <w:rFonts w:hint="eastAsia" w:eastAsia="宋体" w:cs="Times New Roman"/>
                      <w:color w:val="0000FF"/>
                      <w:sz w:val="15"/>
                      <w:szCs w:val="15"/>
                      <w:lang w:val="en-US" w:eastAsia="zh-CN"/>
                    </w:rPr>
                    <w:t>/</w:t>
                  </w:r>
                </w:p>
              </w:tc>
              <w:tc>
                <w:tcPr>
                  <w:tcW w:w="155" w:type="pct"/>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156" w:type="pct"/>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162" w:type="pct"/>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187" w:type="pct"/>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127" w:type="pct"/>
                  <w:noWrap w:val="0"/>
                  <w:vAlign w:val="center"/>
                </w:tcPr>
                <w:p>
                  <w:pPr>
                    <w:spacing w:line="240" w:lineRule="auto"/>
                    <w:ind w:firstLine="0" w:firstLineChars="0"/>
                    <w:jc w:val="center"/>
                    <w:rPr>
                      <w:rFonts w:hint="eastAsia" w:cs="Times New Roman"/>
                      <w:color w:val="0000FF"/>
                      <w:sz w:val="15"/>
                      <w:szCs w:val="15"/>
                      <w:lang w:val="en-US" w:eastAsia="zh-CN"/>
                    </w:rPr>
                  </w:pPr>
                </w:p>
              </w:tc>
              <w:tc>
                <w:tcPr>
                  <w:tcW w:w="239" w:type="pct"/>
                  <w:noWrap w:val="0"/>
                  <w:vAlign w:val="center"/>
                </w:tcPr>
                <w:p>
                  <w:pPr>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w:t>
                  </w:r>
                </w:p>
              </w:tc>
              <w:tc>
                <w:tcPr>
                  <w:tcW w:w="286" w:type="pct"/>
                  <w:noWrap w:val="0"/>
                  <w:vAlign w:val="center"/>
                </w:tcPr>
                <w:p>
                  <w:pPr>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w:t>
                  </w:r>
                </w:p>
              </w:tc>
              <w:tc>
                <w:tcPr>
                  <w:tcW w:w="276" w:type="pct"/>
                  <w:noWrap w:val="0"/>
                  <w:vAlign w:val="center"/>
                </w:tcPr>
                <w:p>
                  <w:pPr>
                    <w:autoSpaceDE w:val="0"/>
                    <w:autoSpaceDN w:val="0"/>
                    <w:adjustRightInd w:val="0"/>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1.5</w:t>
                  </w:r>
                </w:p>
              </w:tc>
              <w:tc>
                <w:tcPr>
                  <w:tcW w:w="228" w:type="pct"/>
                  <w:noWrap w:val="0"/>
                  <w:vAlign w:val="center"/>
                </w:tcPr>
                <w:p>
                  <w:pPr>
                    <w:autoSpaceDE w:val="0"/>
                    <w:autoSpaceDN w:val="0"/>
                    <w:adjustRightInd w:val="0"/>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w:t>
                  </w:r>
                </w:p>
              </w:tc>
              <w:tc>
                <w:tcPr>
                  <w:tcW w:w="124" w:type="pct"/>
                  <w:noWrap w:val="0"/>
                  <w:vAlign w:val="center"/>
                </w:tcPr>
                <w:p>
                  <w:pPr>
                    <w:autoSpaceDE w:val="0"/>
                    <w:autoSpaceDN w:val="0"/>
                    <w:adjustRightInd w:val="0"/>
                    <w:spacing w:line="240" w:lineRule="auto"/>
                    <w:ind w:firstLine="0" w:firstLineChars="0"/>
                    <w:jc w:val="center"/>
                    <w:rPr>
                      <w:rFonts w:hint="default" w:cs="Times New Roman"/>
                      <w:color w:val="0000FF"/>
                      <w:sz w:val="15"/>
                      <w:szCs w:val="15"/>
                      <w:lang w:val="en-US" w:eastAsia="zh-CN"/>
                    </w:rPr>
                  </w:pPr>
                  <w:r>
                    <w:rPr>
                      <w:rFonts w:hint="eastAsia" w:cs="Times New Roman"/>
                      <w:color w:val="0000FF"/>
                      <w:sz w:val="15"/>
                      <w:szCs w:val="15"/>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1.1源强核算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lang w:val="en-US" w:eastAsia="zh-CN"/>
              </w:rPr>
            </w:pPr>
            <w:r>
              <w:rPr>
                <w:rFonts w:hint="eastAsia" w:cs="Times New Roman"/>
                <w:lang w:val="en-US" w:eastAsia="zh-CN"/>
              </w:rPr>
              <w:t>（1）混料废气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000000"/>
                <w:sz w:val="24"/>
                <w:szCs w:val="24"/>
                <w:lang w:val="en-US" w:eastAsia="zh-CN"/>
              </w:rPr>
            </w:pPr>
            <w:r>
              <w:rPr>
                <w:rFonts w:hint="default" w:ascii="Times New Roman" w:hAnsi="Times New Roman" w:eastAsia="宋体" w:cs="Times New Roman"/>
                <w:b w:val="0"/>
                <w:bCs w:val="0"/>
                <w:color w:val="000000"/>
                <w:sz w:val="24"/>
                <w:szCs w:val="24"/>
                <w:lang w:val="en-US" w:eastAsia="zh-CN"/>
              </w:rPr>
              <w:t>在投料过程，由于</w:t>
            </w:r>
            <w:r>
              <w:rPr>
                <w:rFonts w:hint="eastAsia" w:eastAsia="宋体" w:cs="Times New Roman"/>
                <w:b w:val="0"/>
                <w:bCs w:val="0"/>
                <w:color w:val="000000"/>
                <w:sz w:val="24"/>
                <w:szCs w:val="24"/>
                <w:lang w:val="en-US" w:eastAsia="zh-CN"/>
              </w:rPr>
              <w:t>PE</w:t>
            </w:r>
            <w:r>
              <w:rPr>
                <w:rFonts w:hint="default" w:ascii="Times New Roman" w:hAnsi="Times New Roman" w:eastAsia="宋体" w:cs="Times New Roman"/>
                <w:b w:val="0"/>
                <w:bCs w:val="0"/>
                <w:color w:val="000000"/>
                <w:sz w:val="24"/>
                <w:szCs w:val="24"/>
                <w:lang w:val="en-US" w:eastAsia="zh-CN"/>
              </w:rPr>
              <w:t>塑料尺寸相对较大（2~4cm</w:t>
            </w:r>
            <w:r>
              <w:rPr>
                <w:rFonts w:hint="default" w:ascii="Times New Roman" w:hAnsi="Times New Roman" w:eastAsia="宋体" w:cs="Times New Roman"/>
                <w:b w:val="0"/>
                <w:bCs w:val="0"/>
                <w:color w:val="000000"/>
                <w:sz w:val="24"/>
                <w:szCs w:val="24"/>
                <w:vertAlign w:val="superscript"/>
                <w:lang w:val="en-US" w:eastAsia="zh-CN"/>
              </w:rPr>
              <w:t>2</w:t>
            </w:r>
            <w:r>
              <w:rPr>
                <w:rFonts w:hint="default" w:ascii="Times New Roman" w:hAnsi="Times New Roman" w:eastAsia="宋体" w:cs="Times New Roman"/>
                <w:b w:val="0"/>
                <w:bCs w:val="0"/>
                <w:color w:val="000000"/>
                <w:sz w:val="24"/>
                <w:szCs w:val="24"/>
                <w:lang w:val="en-US" w:eastAsia="zh-CN"/>
              </w:rPr>
              <w:t>），</w:t>
            </w:r>
            <w:r>
              <w:rPr>
                <w:rFonts w:hint="eastAsia" w:ascii="Times New Roman" w:hAnsi="Times New Roman" w:cs="Times New Roman"/>
                <w:b w:val="0"/>
                <w:bCs w:val="0"/>
                <w:color w:val="000000"/>
                <w:sz w:val="24"/>
                <w:szCs w:val="24"/>
                <w:lang w:val="en-US" w:eastAsia="zh-CN"/>
              </w:rPr>
              <w:t>其投料过程基本无粉尘产生，只有粉料在投加过程中会产生少量粉尘。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lang w:val="en-US" w:eastAsia="zh-CN"/>
              </w:rPr>
            </w:pPr>
            <w:r>
              <w:rPr>
                <w:rFonts w:hint="eastAsia" w:ascii="Times New Roman" w:hAnsi="Times New Roman"/>
                <w:color w:val="000000"/>
                <w:sz w:val="24"/>
              </w:rPr>
              <w:t>根据《环境影响评价实用技术指南》（李爱贞主编）中推荐的经验系数进行估算，在投料过程中粉尘产生量按粉料投入量的0.1%~0.4%计，本项目取0.</w:t>
            </w:r>
            <w:r>
              <w:rPr>
                <w:rFonts w:hint="eastAsia"/>
                <w:color w:val="000000"/>
                <w:sz w:val="24"/>
                <w:lang w:val="en-US" w:eastAsia="zh-CN"/>
              </w:rPr>
              <w:t>4</w:t>
            </w:r>
            <w:r>
              <w:rPr>
                <w:rFonts w:hint="eastAsia" w:ascii="Times New Roman" w:hAnsi="Times New Roman"/>
                <w:color w:val="000000"/>
                <w:sz w:val="24"/>
              </w:rPr>
              <w:t>%</w:t>
            </w:r>
            <w:r>
              <w:rPr>
                <w:rFonts w:hint="eastAsia"/>
                <w:color w:val="000000"/>
                <w:sz w:val="24"/>
                <w:lang w:eastAsia="zh-CN"/>
              </w:rPr>
              <w:t>，则项目粉尘产生量为</w:t>
            </w:r>
            <w:r>
              <w:rPr>
                <w:rFonts w:hint="eastAsia"/>
                <w:color w:val="000000"/>
                <w:sz w:val="24"/>
                <w:lang w:val="en-US" w:eastAsia="zh-CN"/>
              </w:rPr>
              <w:t>36.01t/a</w:t>
            </w:r>
            <w:r>
              <w:rPr>
                <w:rFonts w:hint="eastAsia" w:ascii="Times New Roman" w:hAnsi="Times New Roman" w:cs="Times New Roman"/>
                <w:b w:val="0"/>
                <w:bCs w:val="0"/>
                <w:color w:val="000000"/>
                <w:sz w:val="24"/>
                <w:szCs w:val="24"/>
                <w:lang w:val="en-US" w:eastAsia="zh-CN"/>
              </w:rPr>
              <w:t>。投料粉尘主要产生点位在</w:t>
            </w:r>
            <w:r>
              <w:rPr>
                <w:rFonts w:hint="eastAsia" w:cs="Times New Roman"/>
                <w:b w:val="0"/>
                <w:bCs w:val="0"/>
                <w:color w:val="000000"/>
                <w:sz w:val="24"/>
                <w:szCs w:val="24"/>
                <w:lang w:val="en-US" w:eastAsia="zh-CN"/>
              </w:rPr>
              <w:t>混料机</w:t>
            </w:r>
            <w:r>
              <w:rPr>
                <w:rFonts w:hint="eastAsia" w:ascii="Times New Roman" w:hAnsi="Times New Roman" w:cs="Times New Roman"/>
                <w:b w:val="0"/>
                <w:bCs w:val="0"/>
                <w:color w:val="000000"/>
                <w:sz w:val="24"/>
                <w:szCs w:val="24"/>
                <w:lang w:val="en-US" w:eastAsia="zh-CN"/>
              </w:rPr>
              <w:t>的投料口，需在投料口上方设集气装置，粉尘经收集后通过布袋除尘器处理达标后15m高的排气筒</w:t>
            </w:r>
            <w:r>
              <w:rPr>
                <w:rFonts w:hint="eastAsia" w:cs="Times New Roman"/>
                <w:b w:val="0"/>
                <w:bCs w:val="0"/>
                <w:color w:val="000000"/>
                <w:sz w:val="24"/>
                <w:szCs w:val="24"/>
                <w:lang w:val="en-US" w:eastAsia="zh-CN"/>
              </w:rPr>
              <w:t>（DA001）</w:t>
            </w:r>
            <w:r>
              <w:rPr>
                <w:rFonts w:hint="eastAsia" w:ascii="Times New Roman" w:hAnsi="Times New Roman" w:cs="Times New Roman"/>
                <w:b w:val="0"/>
                <w:bCs w:val="0"/>
                <w:color w:val="000000"/>
                <w:sz w:val="24"/>
                <w:szCs w:val="24"/>
                <w:lang w:val="en-US" w:eastAsia="zh-CN"/>
              </w:rPr>
              <w:t>排放，粉尘收集率按9</w:t>
            </w:r>
            <w:r>
              <w:rPr>
                <w:rFonts w:hint="eastAsia" w:cs="Times New Roman"/>
                <w:b w:val="0"/>
                <w:bCs w:val="0"/>
                <w:color w:val="000000"/>
                <w:sz w:val="24"/>
                <w:szCs w:val="24"/>
                <w:lang w:val="en-US" w:eastAsia="zh-CN"/>
              </w:rPr>
              <w:t>0</w:t>
            </w:r>
            <w:r>
              <w:rPr>
                <w:rFonts w:hint="eastAsia" w:ascii="Times New Roman" w:hAnsi="Times New Roman" w:cs="Times New Roman"/>
                <w:b w:val="0"/>
                <w:bCs w:val="0"/>
                <w:color w:val="000000"/>
                <w:sz w:val="24"/>
                <w:szCs w:val="24"/>
                <w:lang w:val="en-US" w:eastAsia="zh-CN"/>
              </w:rPr>
              <w:t>%计，布袋除尘器除尘效率按98%计，工作时间为</w:t>
            </w:r>
            <w:r>
              <w:rPr>
                <w:rFonts w:hint="eastAsia" w:cs="Times New Roman"/>
                <w:b w:val="0"/>
                <w:bCs w:val="0"/>
                <w:color w:val="000000"/>
                <w:sz w:val="24"/>
                <w:szCs w:val="24"/>
                <w:lang w:val="en-US" w:eastAsia="zh-CN"/>
              </w:rPr>
              <w:t>2400</w:t>
            </w:r>
            <w:r>
              <w:rPr>
                <w:rFonts w:hint="eastAsia" w:ascii="Times New Roman" w:hAnsi="Times New Roman" w:cs="Times New Roman"/>
                <w:b w:val="0"/>
                <w:bCs w:val="0"/>
                <w:color w:val="000000"/>
                <w:sz w:val="24"/>
                <w:szCs w:val="24"/>
                <w:lang w:val="en-US" w:eastAsia="zh-CN"/>
              </w:rPr>
              <w:t>h/a，</w:t>
            </w:r>
            <w:r>
              <w:rPr>
                <w:rFonts w:hint="eastAsia" w:cs="Times New Roman"/>
                <w:b w:val="0"/>
                <w:bCs w:val="0"/>
                <w:color w:val="000000"/>
                <w:sz w:val="24"/>
                <w:szCs w:val="24"/>
                <w:lang w:val="en-US" w:eastAsia="zh-CN"/>
              </w:rPr>
              <w:t>设计风机</w:t>
            </w:r>
            <w:r>
              <w:rPr>
                <w:rFonts w:hint="eastAsia" w:ascii="Times New Roman" w:hAnsi="Times New Roman" w:cs="Times New Roman"/>
                <w:b w:val="0"/>
                <w:bCs w:val="0"/>
                <w:color w:val="000000"/>
                <w:sz w:val="24"/>
                <w:szCs w:val="24"/>
                <w:lang w:val="en-US" w:eastAsia="zh-CN"/>
              </w:rPr>
              <w:t>风量</w:t>
            </w:r>
            <w:r>
              <w:rPr>
                <w:rFonts w:hint="eastAsia" w:cs="Times New Roman"/>
                <w:b w:val="0"/>
                <w:bCs w:val="0"/>
                <w:color w:val="000000"/>
                <w:sz w:val="24"/>
                <w:szCs w:val="24"/>
                <w:lang w:val="en-US" w:eastAsia="zh-CN"/>
              </w:rPr>
              <w:t>15</w:t>
            </w:r>
            <w:r>
              <w:rPr>
                <w:rFonts w:hint="eastAsia" w:ascii="Times New Roman" w:hAnsi="Times New Roman" w:cs="Times New Roman"/>
                <w:b w:val="0"/>
                <w:bCs w:val="0"/>
                <w:color w:val="000000"/>
                <w:sz w:val="24"/>
                <w:szCs w:val="24"/>
                <w:lang w:val="en-US" w:eastAsia="zh-CN"/>
              </w:rPr>
              <w:t>000m</w:t>
            </w:r>
            <w:r>
              <w:rPr>
                <w:rFonts w:hint="eastAsia" w:ascii="Times New Roman" w:hAnsi="Times New Roman" w:cs="Times New Roman"/>
                <w:b w:val="0"/>
                <w:bCs w:val="0"/>
                <w:color w:val="000000"/>
                <w:sz w:val="24"/>
                <w:szCs w:val="24"/>
                <w:vertAlign w:val="superscript"/>
                <w:lang w:val="en-US" w:eastAsia="zh-CN"/>
              </w:rPr>
              <w:t>3</w:t>
            </w:r>
            <w:r>
              <w:rPr>
                <w:rFonts w:hint="eastAsia" w:ascii="Times New Roman" w:hAnsi="Times New Roman" w:cs="Times New Roman"/>
                <w:b w:val="0"/>
                <w:bCs w:val="0"/>
                <w:color w:val="000000"/>
                <w:sz w:val="24"/>
                <w:szCs w:val="24"/>
                <w:lang w:val="en-US" w:eastAsia="zh-CN"/>
              </w:rPr>
              <w:t>/h</w:t>
            </w:r>
            <w:r>
              <w:rPr>
                <w:rFonts w:hint="default" w:ascii="Times New Roman" w:hAnsi="Times New Roman" w:eastAsia="宋体" w:cs="Times New Roman"/>
                <w:color w:val="000000"/>
                <w:sz w:val="24"/>
                <w:szCs w:val="24"/>
                <w:lang w:val="en-US" w:eastAsia="zh-CN"/>
              </w:rPr>
              <w:t>。未收集的粉尘中，80%受自身重力影响沉降于地面</w:t>
            </w:r>
            <w:r>
              <w:rPr>
                <w:rFonts w:hint="eastAsia"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eastAsia="宋体" w:cs="Times New Roman"/>
                <w:lang w:val="en-US" w:eastAsia="zh-CN"/>
              </w:rPr>
            </w:pPr>
            <w:r>
              <w:rPr>
                <w:rFonts w:hint="eastAsia" w:eastAsia="宋体" w:cs="Times New Roman"/>
                <w:lang w:val="en-US" w:eastAsia="zh-CN"/>
              </w:rPr>
              <w:t>（2）挤出废气</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color w:val="0000FF"/>
                <w:sz w:val="24"/>
                <w:szCs w:val="24"/>
                <w:lang w:val="en-US" w:eastAsia="zh-CN"/>
              </w:rPr>
              <w:t>本项目在加热熔融工序对塑料加热到熔融状态，由于加热温度控制在允许范围内，塑料不发生裂解，但会产生少量挥发性有机气体，该挥发性有机气体主要为非甲烷总烃。拟建项目所使用的造粒机均为电加热设备，造粒机对废塑料的加热温度均低于各类塑料的热裂解温度</w:t>
            </w:r>
            <w:r>
              <w:rPr>
                <w:rFonts w:hint="eastAsia" w:eastAsia="宋体" w:cs="Times New Roman"/>
                <w:color w:val="0000FF"/>
                <w:sz w:val="24"/>
                <w:szCs w:val="24"/>
                <w:lang w:val="en-US" w:eastAsia="zh-CN"/>
              </w:rPr>
              <w:t>，</w:t>
            </w:r>
            <w:r>
              <w:rPr>
                <w:rFonts w:hint="eastAsia" w:ascii="Times New Roman" w:hAnsi="Times New Roman" w:eastAsia="宋体" w:cs="Times New Roman"/>
                <w:color w:val="0000FF"/>
                <w:kern w:val="2"/>
                <w:lang w:val="en-US" w:eastAsia="zh-CN"/>
              </w:rPr>
              <w:t>参考《浙江省重点行业VOCs污染排放源排放量计算方法（1.1版）》中塑料行业的排放系数：“塑料皮、板、管材制造工序”VOCs产生量约</w:t>
            </w:r>
            <w:r>
              <w:rPr>
                <w:rFonts w:hint="eastAsia" w:eastAsia="宋体" w:cs="Times New Roman"/>
                <w:color w:val="0000FF"/>
                <w:kern w:val="2"/>
                <w:lang w:val="en-US" w:eastAsia="zh-CN"/>
              </w:rPr>
              <w:t>0.539</w:t>
            </w:r>
            <w:r>
              <w:rPr>
                <w:rFonts w:hint="eastAsia" w:ascii="Times New Roman" w:hAnsi="Times New Roman" w:eastAsia="宋体" w:cs="Times New Roman"/>
                <w:color w:val="0000FF"/>
                <w:kern w:val="2"/>
                <w:lang w:val="en-US" w:eastAsia="zh-CN"/>
              </w:rPr>
              <w:t>kg/t原料，</w:t>
            </w:r>
            <w:r>
              <w:rPr>
                <w:rFonts w:hint="default" w:ascii="Times New Roman" w:hAnsi="Times New Roman" w:eastAsia="宋体" w:cs="Times New Roman"/>
                <w:color w:val="0000FF"/>
                <w:lang w:val="en-US" w:eastAsia="zh-CN"/>
              </w:rPr>
              <w:t>则</w:t>
            </w:r>
            <w:r>
              <w:rPr>
                <w:rFonts w:hint="eastAsia" w:eastAsia="宋体" w:cs="Times New Roman"/>
                <w:color w:val="0000FF"/>
                <w:lang w:val="en-US" w:eastAsia="zh-CN"/>
              </w:rPr>
              <w:t>非甲烷总烃</w:t>
            </w:r>
            <w:r>
              <w:rPr>
                <w:rFonts w:hint="default" w:ascii="Times New Roman" w:hAnsi="Times New Roman" w:eastAsia="宋体" w:cs="Times New Roman"/>
                <w:color w:val="0000FF"/>
                <w:lang w:val="en-US" w:eastAsia="zh-CN"/>
              </w:rPr>
              <w:t>产生量为</w:t>
            </w:r>
            <w:r>
              <w:rPr>
                <w:rFonts w:hint="eastAsia" w:cs="Times New Roman"/>
                <w:color w:val="0000FF"/>
                <w:lang w:val="en-US" w:eastAsia="zh-CN"/>
              </w:rPr>
              <w:t>4.31</w:t>
            </w:r>
            <w:r>
              <w:rPr>
                <w:rFonts w:hint="default" w:ascii="Times New Roman" w:hAnsi="Times New Roman" w:eastAsia="宋体" w:cs="Times New Roman"/>
                <w:color w:val="0000FF"/>
                <w:lang w:val="en-US" w:eastAsia="zh-CN"/>
              </w:rPr>
              <w:t>t/a</w:t>
            </w:r>
            <w:r>
              <w:rPr>
                <w:rFonts w:hint="eastAsia"/>
                <w:color w:val="0000FF"/>
                <w:lang w:val="en-US" w:eastAsia="zh-CN"/>
              </w:rPr>
              <w:t>。拟在挤出机出口处设集气装置，废气经收集后通过UV光解+两级活性炭吸附装置处理后15m高排气筒（DA001）排放，收集效率按90%计，处理效率按85%计，设计风机</w:t>
            </w:r>
          </w:p>
        </w:tc>
      </w:tr>
    </w:tbl>
    <w:p>
      <w:pPr>
        <w:pStyle w:val="2"/>
        <w:rPr>
          <w:rFonts w:hint="default" w:ascii="Times New Roman" w:hAnsi="Times New Roman" w:cs="Times New Roman"/>
        </w:rPr>
        <w:sectPr>
          <w:pgSz w:w="16840" w:h="11907" w:orient="landscape"/>
          <w:pgMar w:top="1080" w:right="1440" w:bottom="1080" w:left="1440" w:header="851" w:footer="851" w:gutter="0"/>
          <w:pgBorders>
            <w:top w:val="none" w:sz="0" w:space="0"/>
            <w:left w:val="none" w:sz="0" w:space="0"/>
            <w:bottom w:val="none" w:sz="0" w:space="0"/>
            <w:right w:val="none" w:sz="0" w:space="0"/>
          </w:pgBorders>
          <w:cols w:space="720" w:num="1"/>
          <w:docGrid w:linePitch="312" w:charSpace="0"/>
        </w:sect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2" w:type="dxa"/>
          </w:tcPr>
          <w:p>
            <w:pPr>
              <w:rPr>
                <w:rFonts w:hint="default" w:ascii="Times New Roman" w:hAnsi="Times New Roman" w:cs="Times New Roman"/>
                <w:color w:val="0000FF"/>
                <w:vertAlign w:val="baseline"/>
              </w:rPr>
            </w:pPr>
          </w:p>
        </w:tc>
        <w:tc>
          <w:tcPr>
            <w:tcW w:w="8791" w:type="dxa"/>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cs="Times New Roman"/>
                <w:b w:val="0"/>
                <w:bCs w:val="0"/>
                <w:color w:val="0000FF"/>
                <w:sz w:val="24"/>
                <w:szCs w:val="24"/>
                <w:lang w:val="en-US" w:eastAsia="zh-CN"/>
              </w:rPr>
            </w:pPr>
            <w:r>
              <w:rPr>
                <w:rFonts w:hint="eastAsia"/>
                <w:color w:val="0000FF"/>
                <w:lang w:val="en-US" w:eastAsia="zh-CN"/>
              </w:rPr>
              <w:t>风量为15000</w:t>
            </w:r>
            <w:r>
              <w:rPr>
                <w:rFonts w:hint="eastAsia" w:ascii="Times New Roman" w:hAnsi="Times New Roman" w:cs="Times New Roman"/>
                <w:b w:val="0"/>
                <w:bCs w:val="0"/>
                <w:color w:val="0000FF"/>
                <w:sz w:val="24"/>
                <w:szCs w:val="24"/>
                <w:lang w:val="en-US" w:eastAsia="zh-CN"/>
              </w:rPr>
              <w:t>m</w:t>
            </w:r>
            <w:r>
              <w:rPr>
                <w:rFonts w:hint="eastAsia" w:ascii="Times New Roman" w:hAnsi="Times New Roman" w:cs="Times New Roman"/>
                <w:b w:val="0"/>
                <w:bCs w:val="0"/>
                <w:color w:val="0000FF"/>
                <w:sz w:val="24"/>
                <w:szCs w:val="24"/>
                <w:vertAlign w:val="superscript"/>
                <w:lang w:val="en-US" w:eastAsia="zh-CN"/>
              </w:rPr>
              <w:t>3</w:t>
            </w:r>
            <w:r>
              <w:rPr>
                <w:rFonts w:hint="eastAsia" w:ascii="Times New Roman" w:hAnsi="Times New Roman" w:cs="Times New Roman"/>
                <w:b w:val="0"/>
                <w:bCs w:val="0"/>
                <w:color w:val="0000FF"/>
                <w:sz w:val="24"/>
                <w:szCs w:val="24"/>
                <w:lang w:val="en-US" w:eastAsia="zh-CN"/>
              </w:rPr>
              <w:t>/h</w:t>
            </w:r>
            <w:r>
              <w:rPr>
                <w:rFonts w:hint="eastAsia" w:cs="Times New Roman"/>
                <w:b w:val="0"/>
                <w:bCs w:val="0"/>
                <w:color w:val="0000FF"/>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eastAsia"/>
                <w:color w:val="0000E1"/>
                <w:lang w:val="en-US" w:eastAsia="zh-CN"/>
              </w:rPr>
            </w:pPr>
            <w:r>
              <w:rPr>
                <w:rFonts w:hint="eastAsia"/>
                <w:color w:val="0000E1"/>
                <w:sz w:val="24"/>
              </w:rPr>
              <w:t>本次评价要求建设单位严格执行《挥发性有机物无组织排放控制标准》（GB 37822-2019）中的相关要求。①尽可能将生产车间密闭，防止有机废气过多逸散出厂房外对周边大气环境产生影响；②确保废气收集处理系统与生产工艺设备同步投入使用；③生产</w:t>
            </w:r>
            <w:r>
              <w:rPr>
                <w:color w:val="0000E1"/>
                <w:sz w:val="24"/>
              </w:rPr>
              <w:t>过程中，记录含</w:t>
            </w:r>
            <w:r>
              <w:rPr>
                <w:rFonts w:hint="eastAsia"/>
                <w:color w:val="0000E1"/>
                <w:sz w:val="24"/>
              </w:rPr>
              <w:t>VOC</w:t>
            </w:r>
            <w:r>
              <w:rPr>
                <w:rFonts w:hint="eastAsia"/>
                <w:color w:val="0000E1"/>
                <w:sz w:val="24"/>
                <w:vertAlign w:val="subscript"/>
              </w:rPr>
              <w:t>S</w:t>
            </w:r>
            <w:r>
              <w:rPr>
                <w:rFonts w:hint="eastAsia"/>
                <w:color w:val="0000E1"/>
                <w:sz w:val="24"/>
              </w:rPr>
              <w:t>原</w:t>
            </w:r>
            <w:r>
              <w:rPr>
                <w:color w:val="0000E1"/>
                <w:sz w:val="24"/>
              </w:rPr>
              <w:t>辅材料和含</w:t>
            </w:r>
            <w:r>
              <w:rPr>
                <w:rFonts w:hint="eastAsia"/>
                <w:color w:val="0000E1"/>
                <w:sz w:val="24"/>
              </w:rPr>
              <w:t>VOC</w:t>
            </w:r>
            <w:r>
              <w:rPr>
                <w:rFonts w:hint="eastAsia"/>
                <w:color w:val="0000E1"/>
                <w:sz w:val="24"/>
                <w:vertAlign w:val="subscript"/>
              </w:rPr>
              <w:t>S</w:t>
            </w:r>
            <w:r>
              <w:rPr>
                <w:rFonts w:hint="eastAsia"/>
                <w:color w:val="0000E1"/>
                <w:sz w:val="24"/>
              </w:rPr>
              <w:t>产品</w:t>
            </w:r>
            <w:r>
              <w:rPr>
                <w:color w:val="0000E1"/>
                <w:sz w:val="24"/>
              </w:rPr>
              <w:t>的名称、使用量、回收量、</w:t>
            </w:r>
            <w:r>
              <w:rPr>
                <w:rFonts w:hint="eastAsia"/>
                <w:color w:val="0000E1"/>
                <w:sz w:val="24"/>
              </w:rPr>
              <w:t>废弃量</w:t>
            </w:r>
            <w:r>
              <w:rPr>
                <w:color w:val="0000E1"/>
                <w:sz w:val="24"/>
              </w:rPr>
              <w:t>去向及</w:t>
            </w:r>
            <w:r>
              <w:rPr>
                <w:rFonts w:hint="eastAsia"/>
                <w:color w:val="0000E1"/>
                <w:sz w:val="24"/>
              </w:rPr>
              <w:t>VOC</w:t>
            </w:r>
            <w:r>
              <w:rPr>
                <w:rFonts w:hint="eastAsia"/>
                <w:color w:val="0000E1"/>
                <w:sz w:val="24"/>
                <w:vertAlign w:val="subscript"/>
              </w:rPr>
              <w:t>S</w:t>
            </w:r>
            <w:r>
              <w:rPr>
                <w:color w:val="0000E1"/>
                <w:sz w:val="24"/>
              </w:rPr>
              <w:t>含量</w:t>
            </w:r>
            <w:r>
              <w:rPr>
                <w:rFonts w:hint="eastAsia"/>
                <w:color w:val="0000E1"/>
                <w:sz w:val="24"/>
              </w:rPr>
              <w:t>等信息</w:t>
            </w:r>
            <w:r>
              <w:rPr>
                <w:color w:val="0000E1"/>
                <w:sz w:val="24"/>
              </w:rPr>
              <w:t>，</w:t>
            </w:r>
            <w:r>
              <w:rPr>
                <w:rFonts w:hint="eastAsia"/>
                <w:color w:val="0000E1"/>
                <w:sz w:val="24"/>
              </w:rPr>
              <w:t>④同时为保证厂房内员工健康，操作时应要求员工佩戴防护口罩，并定期进行厂区内有机废气无组织排放监测，如发现超标，应立刻停止生产并检查熔融挤出设备的密闭情况和负压集气管道。</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textAlignment w:val="auto"/>
              <w:rPr>
                <w:rFonts w:hint="default" w:cs="Times New Roman"/>
                <w:color w:val="0000FF"/>
                <w:lang w:val="en-US" w:eastAsia="zh-CN"/>
              </w:rPr>
            </w:pPr>
            <w:r>
              <w:rPr>
                <w:rFonts w:hint="eastAsia"/>
                <w:color w:val="0000FF"/>
                <w:lang w:val="en-US" w:eastAsia="zh-CN"/>
              </w:rPr>
              <w:t>项目污染物产排情况见下表。</w:t>
            </w:r>
          </w:p>
          <w:p>
            <w:pPr>
              <w:adjustRightInd w:val="0"/>
              <w:snapToGrid w:val="0"/>
              <w:spacing w:line="240" w:lineRule="auto"/>
              <w:ind w:firstLine="0" w:firstLineChars="0"/>
              <w:jc w:val="center"/>
              <w:textAlignment w:val="center"/>
              <w:rPr>
                <w:rFonts w:hint="default" w:ascii="Times New Roman" w:hAnsi="Times New Roman" w:cs="Times New Roman"/>
                <w:b/>
                <w:color w:val="0000FF"/>
                <w:sz w:val="21"/>
                <w:szCs w:val="21"/>
                <w:lang w:val="en-US" w:eastAsia="zh-CN"/>
              </w:rPr>
            </w:pPr>
            <w:r>
              <w:rPr>
                <w:rFonts w:hint="eastAsia" w:ascii="Times New Roman" w:hAnsi="Times New Roman" w:cs="Times New Roman"/>
                <w:b/>
                <w:color w:val="0000FF"/>
                <w:sz w:val="21"/>
                <w:szCs w:val="21"/>
                <w:lang w:val="en-US" w:eastAsia="zh-CN"/>
              </w:rPr>
              <w:t>表4-2  污染物产排情况表</w:t>
            </w:r>
          </w:p>
          <w:tbl>
            <w:tblPr>
              <w:tblStyle w:val="20"/>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7"/>
              <w:gridCol w:w="650"/>
              <w:gridCol w:w="1221"/>
              <w:gridCol w:w="891"/>
              <w:gridCol w:w="996"/>
              <w:gridCol w:w="1167"/>
              <w:gridCol w:w="843"/>
              <w:gridCol w:w="996"/>
              <w:gridCol w:w="1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45"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FF"/>
                      <w:sz w:val="18"/>
                      <w:szCs w:val="18"/>
                      <w:highlight w:val="none"/>
                    </w:rPr>
                  </w:pPr>
                  <w:r>
                    <w:rPr>
                      <w:rFonts w:hint="default" w:ascii="Times New Roman" w:hAnsi="Times New Roman" w:cs="Times New Roman"/>
                      <w:b/>
                      <w:bCs/>
                      <w:color w:val="0000FF"/>
                      <w:sz w:val="18"/>
                      <w:szCs w:val="18"/>
                      <w:highlight w:val="none"/>
                    </w:rPr>
                    <w:t>污染源强</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FF"/>
                      <w:sz w:val="18"/>
                      <w:szCs w:val="18"/>
                      <w:highlight w:val="none"/>
                    </w:rPr>
                  </w:pPr>
                  <w:r>
                    <w:rPr>
                      <w:rFonts w:hint="default" w:ascii="Times New Roman" w:hAnsi="Times New Roman" w:cs="Times New Roman"/>
                      <w:b/>
                      <w:bCs/>
                      <w:color w:val="0000FF"/>
                      <w:sz w:val="18"/>
                      <w:szCs w:val="18"/>
                      <w:highlight w:val="none"/>
                    </w:rPr>
                    <w:t>污染物</w:t>
                  </w:r>
                </w:p>
              </w:tc>
              <w:tc>
                <w:tcPr>
                  <w:tcW w:w="52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FF"/>
                      <w:sz w:val="18"/>
                      <w:szCs w:val="18"/>
                      <w:highlight w:val="none"/>
                    </w:rPr>
                  </w:pPr>
                  <w:r>
                    <w:rPr>
                      <w:rFonts w:hint="default" w:ascii="Times New Roman" w:hAnsi="Times New Roman" w:cs="Times New Roman"/>
                      <w:b/>
                      <w:bCs/>
                      <w:color w:val="0000FF"/>
                      <w:sz w:val="18"/>
                      <w:szCs w:val="18"/>
                      <w:highlight w:val="none"/>
                    </w:rPr>
                    <w:t>产生量（t/a）</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FF"/>
                      <w:kern w:val="2"/>
                      <w:sz w:val="18"/>
                      <w:szCs w:val="18"/>
                      <w:highlight w:val="none"/>
                      <w:lang w:val="en-US" w:eastAsia="zh-CN" w:bidi="ar-SA"/>
                    </w:rPr>
                  </w:pPr>
                  <w:r>
                    <w:rPr>
                      <w:rFonts w:hint="default" w:ascii="Times New Roman" w:hAnsi="Times New Roman" w:cs="Times New Roman"/>
                      <w:b/>
                      <w:bCs/>
                      <w:color w:val="0000FF"/>
                      <w:sz w:val="18"/>
                      <w:szCs w:val="18"/>
                      <w:highlight w:val="none"/>
                    </w:rPr>
                    <w:t>产生速率（kg/h）</w:t>
                  </w:r>
                </w:p>
              </w:tc>
              <w:tc>
                <w:tcPr>
                  <w:tcW w:w="6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FF"/>
                      <w:sz w:val="18"/>
                      <w:szCs w:val="18"/>
                      <w:highlight w:val="none"/>
                      <w:lang w:eastAsia="zh-CN"/>
                    </w:rPr>
                  </w:pPr>
                  <w:r>
                    <w:rPr>
                      <w:rFonts w:hint="default" w:ascii="Times New Roman" w:hAnsi="Times New Roman" w:cs="Times New Roman"/>
                      <w:b/>
                      <w:bCs/>
                      <w:color w:val="0000FF"/>
                      <w:sz w:val="18"/>
                      <w:szCs w:val="18"/>
                      <w:highlight w:val="none"/>
                      <w:lang w:eastAsia="zh-CN"/>
                    </w:rPr>
                    <w:t>产生浓度（</w:t>
                  </w:r>
                  <w:r>
                    <w:rPr>
                      <w:rFonts w:hint="default" w:ascii="Times New Roman" w:hAnsi="Times New Roman" w:cs="Times New Roman"/>
                      <w:b/>
                      <w:bCs/>
                      <w:color w:val="0000FF"/>
                      <w:sz w:val="18"/>
                      <w:szCs w:val="18"/>
                      <w:highlight w:val="none"/>
                      <w:lang w:val="en-US" w:eastAsia="zh-CN"/>
                    </w:rPr>
                    <w:t>mg/m</w:t>
                  </w:r>
                  <w:r>
                    <w:rPr>
                      <w:rFonts w:hint="default" w:ascii="Times New Roman" w:hAnsi="Times New Roman" w:cs="Times New Roman"/>
                      <w:b/>
                      <w:bCs/>
                      <w:color w:val="0000FF"/>
                      <w:sz w:val="18"/>
                      <w:szCs w:val="18"/>
                      <w:highlight w:val="none"/>
                      <w:vertAlign w:val="superscript"/>
                      <w:lang w:val="en-US" w:eastAsia="zh-CN"/>
                    </w:rPr>
                    <w:t>3</w:t>
                  </w:r>
                  <w:r>
                    <w:rPr>
                      <w:rFonts w:hint="default" w:ascii="Times New Roman" w:hAnsi="Times New Roman" w:cs="Times New Roman"/>
                      <w:b/>
                      <w:bCs/>
                      <w:color w:val="0000FF"/>
                      <w:sz w:val="18"/>
                      <w:szCs w:val="18"/>
                      <w:highlight w:val="none"/>
                      <w:lang w:eastAsia="zh-CN"/>
                    </w:rPr>
                    <w:t>）</w:t>
                  </w:r>
                </w:p>
              </w:tc>
              <w:tc>
                <w:tcPr>
                  <w:tcW w:w="49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bCs/>
                      <w:color w:val="0000FF"/>
                      <w:sz w:val="18"/>
                      <w:szCs w:val="18"/>
                      <w:highlight w:val="none"/>
                    </w:rPr>
                  </w:pPr>
                  <w:r>
                    <w:rPr>
                      <w:rFonts w:hint="default" w:ascii="Times New Roman" w:hAnsi="Times New Roman" w:cs="Times New Roman"/>
                      <w:b/>
                      <w:bCs/>
                      <w:color w:val="0000FF"/>
                      <w:sz w:val="18"/>
                      <w:szCs w:val="18"/>
                      <w:highlight w:val="none"/>
                    </w:rPr>
                    <w:t>排放量（t/a）</w:t>
                  </w:r>
                </w:p>
              </w:tc>
              <w:tc>
                <w:tcPr>
                  <w:tcW w:w="58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FF"/>
                      <w:kern w:val="2"/>
                      <w:sz w:val="18"/>
                      <w:szCs w:val="18"/>
                      <w:highlight w:val="none"/>
                      <w:lang w:val="en-US" w:eastAsia="zh-CN" w:bidi="ar-SA"/>
                    </w:rPr>
                  </w:pPr>
                  <w:r>
                    <w:rPr>
                      <w:rFonts w:hint="default" w:ascii="Times New Roman" w:hAnsi="Times New Roman" w:cs="Times New Roman"/>
                      <w:b/>
                      <w:bCs/>
                      <w:color w:val="0000FF"/>
                      <w:sz w:val="18"/>
                      <w:szCs w:val="18"/>
                      <w:highlight w:val="none"/>
                    </w:rPr>
                    <w:t>排放速率（kg/h）</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0000FF"/>
                      <w:sz w:val="18"/>
                      <w:szCs w:val="18"/>
                      <w:highlight w:val="none"/>
                      <w:lang w:eastAsia="zh-CN"/>
                    </w:rPr>
                  </w:pPr>
                  <w:r>
                    <w:rPr>
                      <w:rFonts w:hint="default" w:ascii="Times New Roman" w:hAnsi="Times New Roman" w:cs="Times New Roman"/>
                      <w:b/>
                      <w:bCs/>
                      <w:color w:val="0000FF"/>
                      <w:sz w:val="18"/>
                      <w:szCs w:val="18"/>
                      <w:highlight w:val="none"/>
                      <w:lang w:eastAsia="zh-CN"/>
                    </w:rPr>
                    <w:t>排放浓度（</w:t>
                  </w:r>
                  <w:r>
                    <w:rPr>
                      <w:rFonts w:hint="default" w:ascii="Times New Roman" w:hAnsi="Times New Roman" w:cs="Times New Roman"/>
                      <w:b/>
                      <w:bCs/>
                      <w:color w:val="0000FF"/>
                      <w:sz w:val="18"/>
                      <w:szCs w:val="18"/>
                      <w:highlight w:val="none"/>
                      <w:lang w:val="en-US" w:eastAsia="zh-CN"/>
                    </w:rPr>
                    <w:t>mg/m</w:t>
                  </w:r>
                  <w:r>
                    <w:rPr>
                      <w:rFonts w:hint="default" w:ascii="Times New Roman" w:hAnsi="Times New Roman" w:cs="Times New Roman"/>
                      <w:b/>
                      <w:bCs/>
                      <w:color w:val="0000FF"/>
                      <w:sz w:val="18"/>
                      <w:szCs w:val="18"/>
                      <w:highlight w:val="none"/>
                      <w:vertAlign w:val="superscript"/>
                      <w:lang w:val="en-US" w:eastAsia="zh-CN"/>
                    </w:rPr>
                    <w:t>3</w:t>
                  </w:r>
                  <w:r>
                    <w:rPr>
                      <w:rFonts w:hint="default" w:ascii="Times New Roman" w:hAnsi="Times New Roman" w:cs="Times New Roman"/>
                      <w:b/>
                      <w:bCs/>
                      <w:color w:val="0000FF"/>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 w:hRule="atLeast"/>
              </w:trPr>
              <w:tc>
                <w:tcPr>
                  <w:tcW w:w="36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18"/>
                      <w:szCs w:val="18"/>
                      <w:highlight w:val="none"/>
                      <w:lang w:eastAsia="zh-CN"/>
                    </w:rPr>
                  </w:pPr>
                  <w:r>
                    <w:rPr>
                      <w:rFonts w:hint="eastAsia" w:ascii="Times New Roman" w:hAnsi="Times New Roman" w:cs="Times New Roman"/>
                      <w:color w:val="0000FF"/>
                      <w:sz w:val="18"/>
                      <w:szCs w:val="18"/>
                      <w:highlight w:val="none"/>
                      <w:lang w:eastAsia="zh-CN"/>
                    </w:rPr>
                    <w:t>有组织</w:t>
                  </w:r>
                </w:p>
              </w:tc>
              <w:tc>
                <w:tcPr>
                  <w:tcW w:w="379"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18"/>
                      <w:szCs w:val="18"/>
                      <w:highlight w:val="none"/>
                      <w:lang w:val="en-US" w:eastAsia="zh-CN"/>
                    </w:rPr>
                  </w:pPr>
                  <w:r>
                    <w:rPr>
                      <w:rFonts w:hint="default" w:ascii="Times New Roman" w:hAnsi="Times New Roman" w:cs="Times New Roman"/>
                      <w:color w:val="0000FF"/>
                      <w:sz w:val="18"/>
                      <w:szCs w:val="18"/>
                      <w:highlight w:val="none"/>
                      <w:lang w:val="en-US" w:eastAsia="zh-CN"/>
                    </w:rPr>
                    <w:t>DA001</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18"/>
                      <w:szCs w:val="18"/>
                      <w:highlight w:val="none"/>
                      <w:lang w:val="en-US" w:eastAsia="zh-CN"/>
                    </w:rPr>
                  </w:pPr>
                  <w:r>
                    <w:rPr>
                      <w:rFonts w:hint="default" w:ascii="Times New Roman" w:hAnsi="Times New Roman" w:cs="Times New Roman"/>
                      <w:color w:val="0000FF"/>
                      <w:sz w:val="18"/>
                      <w:szCs w:val="18"/>
                      <w:highlight w:val="none"/>
                      <w:lang w:val="en-US" w:eastAsia="zh-CN"/>
                    </w:rPr>
                    <w:t>TSP</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32.409</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13.504</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900.25</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0.65</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0.27</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rPr>
                  </w:pPr>
                </w:p>
              </w:tc>
              <w:tc>
                <w:tcPr>
                  <w:tcW w:w="379"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rPr>
                  </w:pP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FF"/>
                      <w:sz w:val="18"/>
                      <w:szCs w:val="18"/>
                      <w:highlight w:val="none"/>
                      <w:lang w:val="en-US" w:eastAsia="zh-CN"/>
                    </w:rPr>
                  </w:pPr>
                  <w:r>
                    <w:rPr>
                      <w:rFonts w:hint="eastAsia" w:cs="Times New Roman"/>
                      <w:color w:val="0000FF"/>
                      <w:sz w:val="18"/>
                      <w:szCs w:val="18"/>
                      <w:highlight w:val="none"/>
                      <w:lang w:val="en-US" w:eastAsia="zh-CN"/>
                    </w:rPr>
                    <w:t>非甲烷总烃</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3.879</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1.616</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107.75</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cs="Times New Roman"/>
                      <w:color w:val="0000FF"/>
                      <w:sz w:val="18"/>
                      <w:szCs w:val="18"/>
                      <w:highlight w:val="none"/>
                      <w:lang w:val="en-US" w:eastAsia="zh-CN"/>
                    </w:rPr>
                    <w:t>0.582</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cs="Times New Roman"/>
                      <w:color w:val="0000FF"/>
                      <w:sz w:val="18"/>
                      <w:szCs w:val="18"/>
                      <w:highlight w:val="none"/>
                      <w:lang w:val="en-US" w:eastAsia="zh-CN"/>
                    </w:rPr>
                    <w:t>0.243</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16.16</w:t>
                  </w:r>
                  <w:r>
                    <w:rPr>
                      <w:rFonts w:hint="eastAsia" w:cs="Times New Roman"/>
                      <w:color w:val="0000FF"/>
                      <w:sz w:val="18"/>
                      <w:szCs w:val="18"/>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745"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rPr>
                  </w:pPr>
                  <w:r>
                    <w:rPr>
                      <w:rFonts w:hint="eastAsia" w:ascii="Times New Roman" w:hAnsi="Times New Roman" w:cs="Times New Roman"/>
                      <w:color w:val="0000FF"/>
                      <w:sz w:val="18"/>
                      <w:szCs w:val="18"/>
                      <w:highlight w:val="none"/>
                      <w:lang w:eastAsia="zh-CN"/>
                    </w:rPr>
                    <w:t>无组织</w:t>
                  </w: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TSP</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0.72</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0.3</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0.72</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0.3</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 w:hRule="atLeast"/>
              </w:trPr>
              <w:tc>
                <w:tcPr>
                  <w:tcW w:w="745"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FF"/>
                      <w:sz w:val="18"/>
                      <w:szCs w:val="18"/>
                      <w:highlight w:val="none"/>
                      <w:lang w:eastAsia="zh-CN"/>
                    </w:rPr>
                  </w:pPr>
                </w:p>
              </w:tc>
              <w:tc>
                <w:tcPr>
                  <w:tcW w:w="71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FF"/>
                      <w:sz w:val="18"/>
                      <w:szCs w:val="18"/>
                      <w:highlight w:val="none"/>
                      <w:lang w:val="en-US" w:eastAsia="zh-CN"/>
                    </w:rPr>
                  </w:pPr>
                  <w:r>
                    <w:rPr>
                      <w:rFonts w:hint="eastAsia" w:cs="Times New Roman"/>
                      <w:color w:val="0000FF"/>
                      <w:sz w:val="18"/>
                      <w:szCs w:val="18"/>
                      <w:highlight w:val="none"/>
                      <w:lang w:val="en-US" w:eastAsia="zh-CN"/>
                    </w:rPr>
                    <w:t>非甲烷总烃</w:t>
                  </w:r>
                </w:p>
              </w:tc>
              <w:tc>
                <w:tcPr>
                  <w:tcW w:w="89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0.431</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0.18</w:t>
                  </w:r>
                </w:p>
              </w:tc>
              <w:tc>
                <w:tcPr>
                  <w:tcW w:w="116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0.431</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0.18</w:t>
                  </w:r>
                </w:p>
              </w:tc>
              <w:tc>
                <w:tcPr>
                  <w:tcW w:w="11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FF"/>
                      <w:sz w:val="18"/>
                      <w:szCs w:val="18"/>
                      <w:highlight w:val="none"/>
                      <w:lang w:val="en-US" w:eastAsia="zh-CN"/>
                    </w:rPr>
                  </w:pPr>
                  <w:r>
                    <w:rPr>
                      <w:rFonts w:hint="eastAsia" w:ascii="Times New Roman" w:hAnsi="Times New Roman" w:cs="Times New Roman"/>
                      <w:color w:val="0000FF"/>
                      <w:sz w:val="18"/>
                      <w:szCs w:val="18"/>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cs="Times New Roman"/>
                <w:color w:val="auto"/>
                <w:lang w:val="en-US" w:eastAsia="zh-CN"/>
              </w:rPr>
            </w:pPr>
            <w:r>
              <w:rPr>
                <w:rFonts w:hint="eastAsia" w:cs="Times New Roman"/>
                <w:color w:val="auto"/>
                <w:lang w:val="en-US" w:eastAsia="zh-CN"/>
              </w:rPr>
              <w:t>根据上表可知，本项目废气经处理后，颗粒物最大排放浓度为27mg/m</w:t>
            </w:r>
            <w:r>
              <w:rPr>
                <w:rFonts w:hint="eastAsia" w:cs="Times New Roman"/>
                <w:color w:val="auto"/>
                <w:vertAlign w:val="superscript"/>
                <w:lang w:val="en-US" w:eastAsia="zh-CN"/>
              </w:rPr>
              <w:t>3</w:t>
            </w:r>
            <w:r>
              <w:rPr>
                <w:rFonts w:hint="eastAsia" w:cs="Times New Roman"/>
                <w:color w:val="auto"/>
                <w:lang w:val="en-US" w:eastAsia="zh-CN"/>
              </w:rPr>
              <w:t>，排放速率为0.27kg/h，非甲烷总烃最大排放浓度为16.167mg/m</w:t>
            </w:r>
            <w:r>
              <w:rPr>
                <w:rFonts w:hint="eastAsia" w:cs="Times New Roman"/>
                <w:color w:val="auto"/>
                <w:vertAlign w:val="superscript"/>
                <w:lang w:val="en-US" w:eastAsia="zh-CN"/>
              </w:rPr>
              <w:t>3</w:t>
            </w:r>
            <w:r>
              <w:rPr>
                <w:rFonts w:hint="eastAsia" w:cs="Times New Roman"/>
                <w:color w:val="auto"/>
                <w:lang w:val="en-US" w:eastAsia="zh-CN"/>
              </w:rPr>
              <w:t>，排放速率为0.243kg/h，满足《大气污染物综合排放标准》（GB16297-1996）表2中的二级标准和江西省《挥发性有机物排放标准 第4部分：塑料制品业》（DB36 1101.4-2019）中相关标准。</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cs="Times New Roman"/>
                <w:color w:val="auto"/>
                <w:lang w:val="en-US" w:eastAsia="zh-CN"/>
              </w:rPr>
            </w:pPr>
            <w:r>
              <w:rPr>
                <w:rFonts w:hint="eastAsia" w:cs="Times New Roman"/>
                <w:color w:val="auto"/>
                <w:lang w:val="en-US" w:eastAsia="zh-CN"/>
              </w:rPr>
              <w:t>1.2非正常工况下</w:t>
            </w:r>
          </w:p>
          <w:p>
            <w:pPr>
              <w:adjustRightInd w:val="0"/>
              <w:snapToGrid w:val="0"/>
              <w:ind w:firstLine="480"/>
              <w:rPr>
                <w:color w:val="auto"/>
              </w:rPr>
            </w:pPr>
            <w:r>
              <w:rPr>
                <w:rFonts w:hint="eastAsia"/>
                <w:color w:val="auto"/>
              </w:rPr>
              <w:t>本项目的非正常工况主要是污染物排放控制措施达不到应有效率，造成排气筒废气污染物未经净化直接排放，其排放情况见表4-</w:t>
            </w:r>
            <w:r>
              <w:rPr>
                <w:rFonts w:hint="eastAsia"/>
                <w:color w:val="auto"/>
                <w:lang w:val="en-US" w:eastAsia="zh-CN"/>
              </w:rPr>
              <w:t>3</w:t>
            </w:r>
            <w:r>
              <w:rPr>
                <w:rFonts w:hint="eastAsia"/>
                <w:color w:val="auto"/>
              </w:rPr>
              <w:t>。</w:t>
            </w:r>
          </w:p>
          <w:p>
            <w:pPr>
              <w:adjustRightInd w:val="0"/>
              <w:snapToGrid w:val="0"/>
              <w:spacing w:line="240" w:lineRule="auto"/>
              <w:ind w:firstLine="0" w:firstLineChars="0"/>
              <w:jc w:val="center"/>
              <w:textAlignment w:val="center"/>
              <w:rPr>
                <w:b/>
                <w:color w:val="auto"/>
                <w:sz w:val="21"/>
                <w:szCs w:val="21"/>
              </w:rPr>
            </w:pPr>
            <w:r>
              <w:rPr>
                <w:rFonts w:hint="eastAsia"/>
                <w:b/>
                <w:color w:val="auto"/>
                <w:sz w:val="21"/>
                <w:szCs w:val="21"/>
              </w:rPr>
              <w:t>表4-</w:t>
            </w:r>
            <w:r>
              <w:rPr>
                <w:rFonts w:hint="eastAsia"/>
                <w:b/>
                <w:color w:val="auto"/>
                <w:sz w:val="21"/>
                <w:szCs w:val="21"/>
                <w:lang w:val="en-US" w:eastAsia="zh-CN"/>
              </w:rPr>
              <w:t>3</w:t>
            </w:r>
            <w:r>
              <w:rPr>
                <w:rFonts w:hint="eastAsia"/>
                <w:b/>
                <w:color w:val="auto"/>
                <w:sz w:val="21"/>
                <w:szCs w:val="21"/>
              </w:rPr>
              <w:t xml:space="preserve"> 非正常工况排气筒排放情况</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720"/>
              <w:gridCol w:w="981"/>
              <w:gridCol w:w="1017"/>
              <w:gridCol w:w="950"/>
              <w:gridCol w:w="766"/>
              <w:gridCol w:w="884"/>
              <w:gridCol w:w="1016"/>
              <w:gridCol w:w="867"/>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4"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污染源</w:t>
                  </w:r>
                </w:p>
              </w:tc>
              <w:tc>
                <w:tcPr>
                  <w:tcW w:w="420"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污染物名称</w:t>
                  </w:r>
                </w:p>
              </w:tc>
              <w:tc>
                <w:tcPr>
                  <w:tcW w:w="572"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非正常排放原因</w:t>
                  </w:r>
                </w:p>
              </w:tc>
              <w:tc>
                <w:tcPr>
                  <w:tcW w:w="2111" w:type="pct"/>
                  <w:gridSpan w:val="4"/>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非正常排放情况</w:t>
                  </w:r>
                </w:p>
              </w:tc>
              <w:tc>
                <w:tcPr>
                  <w:tcW w:w="1099" w:type="pct"/>
                  <w:gridSpan w:val="2"/>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执行标准</w:t>
                  </w:r>
                </w:p>
              </w:tc>
              <w:tc>
                <w:tcPr>
                  <w:tcW w:w="361"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434"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p>
              </w:tc>
              <w:tc>
                <w:tcPr>
                  <w:tcW w:w="420"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p>
              </w:tc>
              <w:tc>
                <w:tcPr>
                  <w:tcW w:w="572"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p>
              </w:tc>
              <w:tc>
                <w:tcPr>
                  <w:tcW w:w="593" w:type="pc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浓度（mg/m</w:t>
                  </w:r>
                  <w:r>
                    <w:rPr>
                      <w:b/>
                      <w:bCs/>
                      <w:color w:val="auto"/>
                      <w:sz w:val="18"/>
                      <w:szCs w:val="18"/>
                      <w:vertAlign w:val="superscript"/>
                    </w:rPr>
                    <w:t>3</w:t>
                  </w:r>
                  <w:r>
                    <w:rPr>
                      <w:b/>
                      <w:bCs/>
                      <w:color w:val="auto"/>
                      <w:sz w:val="18"/>
                      <w:szCs w:val="18"/>
                    </w:rPr>
                    <w:t>）</w:t>
                  </w:r>
                </w:p>
              </w:tc>
              <w:tc>
                <w:tcPr>
                  <w:tcW w:w="554" w:type="pc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速率（kg/h）</w:t>
                  </w:r>
                </w:p>
              </w:tc>
              <w:tc>
                <w:tcPr>
                  <w:tcW w:w="447" w:type="pc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频次及持续时间</w:t>
                  </w:r>
                </w:p>
              </w:tc>
              <w:tc>
                <w:tcPr>
                  <w:tcW w:w="516" w:type="pc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排放量（t/a）</w:t>
                  </w:r>
                </w:p>
              </w:tc>
              <w:tc>
                <w:tcPr>
                  <w:tcW w:w="593" w:type="pc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浓度（mg/m</w:t>
                  </w:r>
                  <w:r>
                    <w:rPr>
                      <w:b/>
                      <w:bCs/>
                      <w:color w:val="auto"/>
                      <w:sz w:val="18"/>
                      <w:szCs w:val="18"/>
                      <w:vertAlign w:val="superscript"/>
                    </w:rPr>
                    <w:t>3</w:t>
                  </w:r>
                  <w:r>
                    <w:rPr>
                      <w:b/>
                      <w:bCs/>
                      <w:color w:val="auto"/>
                      <w:sz w:val="18"/>
                      <w:szCs w:val="18"/>
                    </w:rPr>
                    <w:t>）</w:t>
                  </w:r>
                </w:p>
              </w:tc>
              <w:tc>
                <w:tcPr>
                  <w:tcW w:w="506" w:type="pct"/>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r>
                    <w:rPr>
                      <w:b/>
                      <w:bCs/>
                      <w:color w:val="auto"/>
                      <w:sz w:val="18"/>
                      <w:szCs w:val="18"/>
                    </w:rPr>
                    <w:t>速率（kg/h）</w:t>
                  </w:r>
                </w:p>
              </w:tc>
              <w:tc>
                <w:tcPr>
                  <w:tcW w:w="361"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4" w:type="pct"/>
                  <w:vMerge w:val="restart"/>
                  <w:vAlign w:val="center"/>
                </w:tcPr>
                <w:p>
                  <w:pPr>
                    <w:keepNext w:val="0"/>
                    <w:keepLines w:val="0"/>
                    <w:pageBreakBefore w:val="0"/>
                    <w:kinsoku/>
                    <w:wordWrap/>
                    <w:overflowPunct/>
                    <w:topLinePunct w:val="0"/>
                    <w:bidi w:val="0"/>
                    <w:spacing w:line="240" w:lineRule="auto"/>
                    <w:ind w:firstLine="0" w:firstLineChars="0"/>
                    <w:jc w:val="center"/>
                    <w:rPr>
                      <w:b w:val="0"/>
                      <w:bCs w:val="0"/>
                      <w:color w:val="auto"/>
                      <w:sz w:val="18"/>
                      <w:szCs w:val="18"/>
                    </w:rPr>
                  </w:pPr>
                  <w:r>
                    <w:rPr>
                      <w:b w:val="0"/>
                      <w:bCs w:val="0"/>
                      <w:color w:val="auto"/>
                      <w:sz w:val="18"/>
                      <w:szCs w:val="18"/>
                    </w:rPr>
                    <w:t>DA001</w:t>
                  </w:r>
                </w:p>
              </w:tc>
              <w:tc>
                <w:tcPr>
                  <w:tcW w:w="420" w:type="pct"/>
                  <w:vAlign w:val="center"/>
                </w:tcPr>
                <w:p>
                  <w:pPr>
                    <w:keepNext w:val="0"/>
                    <w:keepLines w:val="0"/>
                    <w:pageBreakBefore w:val="0"/>
                    <w:kinsoku/>
                    <w:wordWrap/>
                    <w:overflowPunct/>
                    <w:topLinePunct w:val="0"/>
                    <w:bidi w:val="0"/>
                    <w:spacing w:line="240" w:lineRule="auto"/>
                    <w:ind w:firstLine="0" w:firstLineChars="0"/>
                    <w:jc w:val="center"/>
                    <w:rPr>
                      <w:rFonts w:hint="default" w:ascii="Times New Roman" w:hAnsi="Times New Roman" w:eastAsia="宋体" w:cs="Times New Roman"/>
                      <w:b w:val="0"/>
                      <w:bCs w:val="0"/>
                      <w:color w:val="auto"/>
                      <w:kern w:val="2"/>
                      <w:sz w:val="18"/>
                      <w:szCs w:val="18"/>
                      <w:lang w:val="en-US" w:eastAsia="zh-CN" w:bidi="ar-SA"/>
                    </w:rPr>
                  </w:pPr>
                  <w:r>
                    <w:rPr>
                      <w:rFonts w:hint="eastAsia" w:cs="Times New Roman"/>
                      <w:b w:val="0"/>
                      <w:bCs w:val="0"/>
                      <w:color w:val="auto"/>
                      <w:kern w:val="2"/>
                      <w:sz w:val="18"/>
                      <w:szCs w:val="18"/>
                      <w:lang w:val="en-US" w:eastAsia="zh-CN" w:bidi="ar-SA"/>
                    </w:rPr>
                    <w:t>TSP</w:t>
                  </w:r>
                </w:p>
              </w:tc>
              <w:tc>
                <w:tcPr>
                  <w:tcW w:w="572" w:type="pct"/>
                  <w:vMerge w:val="restart"/>
                  <w:vAlign w:val="center"/>
                </w:tcPr>
                <w:p>
                  <w:pPr>
                    <w:keepNext w:val="0"/>
                    <w:keepLines w:val="0"/>
                    <w:pageBreakBefore w:val="0"/>
                    <w:kinsoku/>
                    <w:wordWrap/>
                    <w:overflowPunct/>
                    <w:topLinePunct w:val="0"/>
                    <w:bidi w:val="0"/>
                    <w:spacing w:line="240" w:lineRule="auto"/>
                    <w:ind w:firstLine="0" w:firstLineChars="0"/>
                    <w:jc w:val="center"/>
                    <w:rPr>
                      <w:rFonts w:ascii="Times New Roman" w:hAnsi="Times New Roman" w:eastAsia="宋体" w:cs="Times New Roman"/>
                      <w:b w:val="0"/>
                      <w:bCs w:val="0"/>
                      <w:color w:val="auto"/>
                      <w:kern w:val="2"/>
                      <w:sz w:val="18"/>
                      <w:szCs w:val="18"/>
                      <w:lang w:val="en-US" w:eastAsia="zh-CN" w:bidi="ar-SA"/>
                    </w:rPr>
                  </w:pPr>
                  <w:r>
                    <w:rPr>
                      <w:b w:val="0"/>
                      <w:bCs w:val="0"/>
                      <w:color w:val="auto"/>
                      <w:sz w:val="18"/>
                      <w:szCs w:val="18"/>
                    </w:rPr>
                    <w:t>集尘设施故障，处理效率为0</w:t>
                  </w:r>
                </w:p>
              </w:tc>
              <w:tc>
                <w:tcPr>
                  <w:tcW w:w="5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18"/>
                      <w:szCs w:val="18"/>
                      <w:lang w:val="en-US" w:eastAsia="zh-CN" w:bidi="ar-SA"/>
                    </w:rPr>
                  </w:pPr>
                  <w:r>
                    <w:rPr>
                      <w:rFonts w:hint="eastAsia" w:ascii="Times New Roman" w:hAnsi="Times New Roman" w:cs="Times New Roman"/>
                      <w:color w:val="auto"/>
                      <w:sz w:val="18"/>
                      <w:szCs w:val="18"/>
                      <w:highlight w:val="none"/>
                      <w:lang w:val="en-US" w:eastAsia="zh-CN"/>
                    </w:rPr>
                    <w:t>900.25</w:t>
                  </w:r>
                </w:p>
              </w:tc>
              <w:tc>
                <w:tcPr>
                  <w:tcW w:w="5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kern w:val="2"/>
                      <w:sz w:val="18"/>
                      <w:szCs w:val="18"/>
                      <w:lang w:val="en-US" w:eastAsia="zh-CN" w:bidi="ar-SA"/>
                    </w:rPr>
                  </w:pPr>
                  <w:r>
                    <w:rPr>
                      <w:rFonts w:hint="eastAsia" w:ascii="Times New Roman" w:hAnsi="Times New Roman" w:cs="Times New Roman"/>
                      <w:color w:val="auto"/>
                      <w:sz w:val="18"/>
                      <w:szCs w:val="18"/>
                      <w:highlight w:val="none"/>
                      <w:lang w:val="en-US" w:eastAsia="zh-CN"/>
                    </w:rPr>
                    <w:t>13.504</w:t>
                  </w:r>
                </w:p>
              </w:tc>
              <w:tc>
                <w:tcPr>
                  <w:tcW w:w="447" w:type="pct"/>
                  <w:vMerge w:val="restart"/>
                  <w:vAlign w:val="center"/>
                </w:tcPr>
                <w:p>
                  <w:pPr>
                    <w:keepNext w:val="0"/>
                    <w:keepLines w:val="0"/>
                    <w:pageBreakBefore w:val="0"/>
                    <w:kinsoku/>
                    <w:wordWrap/>
                    <w:overflowPunct/>
                    <w:topLinePunct w:val="0"/>
                    <w:bidi w:val="0"/>
                    <w:spacing w:line="240" w:lineRule="auto"/>
                    <w:ind w:firstLine="0" w:firstLineChars="0"/>
                    <w:jc w:val="center"/>
                    <w:rPr>
                      <w:rFonts w:ascii="Times New Roman" w:hAnsi="Times New Roman" w:eastAsia="宋体" w:cs="Times New Roman"/>
                      <w:b w:val="0"/>
                      <w:bCs w:val="0"/>
                      <w:color w:val="auto"/>
                      <w:kern w:val="2"/>
                      <w:sz w:val="18"/>
                      <w:szCs w:val="18"/>
                      <w:lang w:val="en-US" w:eastAsia="zh-CN" w:bidi="ar-SA"/>
                    </w:rPr>
                  </w:pPr>
                  <w:r>
                    <w:rPr>
                      <w:b w:val="0"/>
                      <w:bCs w:val="0"/>
                      <w:color w:val="auto"/>
                      <w:sz w:val="18"/>
                      <w:szCs w:val="18"/>
                    </w:rPr>
                    <w:t>1次/a，1h/次</w:t>
                  </w:r>
                </w:p>
              </w:tc>
              <w:tc>
                <w:tcPr>
                  <w:tcW w:w="516" w:type="pct"/>
                  <w:vAlign w:val="center"/>
                </w:tcPr>
                <w:p>
                  <w:pPr>
                    <w:keepNext w:val="0"/>
                    <w:keepLines w:val="0"/>
                    <w:pageBreakBefore w:val="0"/>
                    <w:kinsoku/>
                    <w:wordWrap/>
                    <w:overflowPunct/>
                    <w:topLinePunct w:val="0"/>
                    <w:bidi w:val="0"/>
                    <w:spacing w:line="240" w:lineRule="auto"/>
                    <w:ind w:firstLine="0" w:firstLineChars="0"/>
                    <w:jc w:val="center"/>
                    <w:rPr>
                      <w:rFonts w:hint="default" w:ascii="Times New Roman" w:hAnsi="Times New Roman" w:eastAsia="宋体" w:cs="Times New Roman"/>
                      <w:b w:val="0"/>
                      <w:bCs w:val="0"/>
                      <w:color w:val="auto"/>
                      <w:kern w:val="2"/>
                      <w:sz w:val="18"/>
                      <w:szCs w:val="18"/>
                      <w:lang w:val="en-US" w:eastAsia="zh-CN" w:bidi="ar-SA"/>
                    </w:rPr>
                  </w:pPr>
                  <w:r>
                    <w:rPr>
                      <w:rFonts w:hint="eastAsia" w:cs="Times New Roman"/>
                      <w:b w:val="0"/>
                      <w:bCs w:val="0"/>
                      <w:color w:val="auto"/>
                      <w:kern w:val="2"/>
                      <w:sz w:val="18"/>
                      <w:szCs w:val="18"/>
                      <w:lang w:val="en-US" w:eastAsia="zh-CN" w:bidi="ar-SA"/>
                    </w:rPr>
                    <w:t>0.014</w:t>
                  </w:r>
                </w:p>
              </w:tc>
              <w:tc>
                <w:tcPr>
                  <w:tcW w:w="593" w:type="pct"/>
                  <w:vAlign w:val="center"/>
                </w:tcPr>
                <w:p>
                  <w:pPr>
                    <w:keepNext w:val="0"/>
                    <w:keepLines w:val="0"/>
                    <w:pageBreakBefore w:val="0"/>
                    <w:kinsoku/>
                    <w:wordWrap/>
                    <w:overflowPunct/>
                    <w:topLinePunct w:val="0"/>
                    <w:bidi w:val="0"/>
                    <w:spacing w:line="240" w:lineRule="auto"/>
                    <w:ind w:firstLine="0" w:firstLineChars="0"/>
                    <w:jc w:val="center"/>
                    <w:rPr>
                      <w:rFonts w:hint="default" w:ascii="Times New Roman" w:hAnsi="Times New Roman" w:eastAsia="宋体" w:cs="Times New Roman"/>
                      <w:b w:val="0"/>
                      <w:bCs w:val="0"/>
                      <w:color w:val="auto"/>
                      <w:kern w:val="2"/>
                      <w:sz w:val="18"/>
                      <w:szCs w:val="18"/>
                      <w:lang w:val="en-US" w:eastAsia="zh-CN" w:bidi="ar-SA"/>
                    </w:rPr>
                  </w:pPr>
                  <w:r>
                    <w:rPr>
                      <w:rFonts w:hint="eastAsia" w:cs="Times New Roman"/>
                      <w:b w:val="0"/>
                      <w:bCs w:val="0"/>
                      <w:color w:val="auto"/>
                      <w:kern w:val="2"/>
                      <w:sz w:val="18"/>
                      <w:szCs w:val="18"/>
                      <w:lang w:val="en-US" w:eastAsia="zh-CN" w:bidi="ar-SA"/>
                    </w:rPr>
                    <w:t>120</w:t>
                  </w:r>
                </w:p>
              </w:tc>
              <w:tc>
                <w:tcPr>
                  <w:tcW w:w="506" w:type="pct"/>
                  <w:vAlign w:val="center"/>
                </w:tcPr>
                <w:p>
                  <w:pPr>
                    <w:keepNext w:val="0"/>
                    <w:keepLines w:val="0"/>
                    <w:pageBreakBefore w:val="0"/>
                    <w:kinsoku/>
                    <w:wordWrap/>
                    <w:overflowPunct/>
                    <w:topLinePunct w:val="0"/>
                    <w:bidi w:val="0"/>
                    <w:spacing w:line="240" w:lineRule="auto"/>
                    <w:ind w:firstLine="0" w:firstLineChars="0"/>
                    <w:jc w:val="center"/>
                    <w:rPr>
                      <w:rFonts w:hint="default" w:ascii="Times New Roman" w:hAnsi="Times New Roman" w:eastAsia="宋体" w:cs="Times New Roman"/>
                      <w:b w:val="0"/>
                      <w:bCs w:val="0"/>
                      <w:color w:val="auto"/>
                      <w:kern w:val="2"/>
                      <w:sz w:val="18"/>
                      <w:szCs w:val="18"/>
                      <w:lang w:val="en-US" w:eastAsia="zh-CN" w:bidi="ar-SA"/>
                    </w:rPr>
                  </w:pPr>
                  <w:r>
                    <w:rPr>
                      <w:rFonts w:hint="eastAsia" w:cs="Times New Roman"/>
                      <w:b w:val="0"/>
                      <w:bCs w:val="0"/>
                      <w:color w:val="auto"/>
                      <w:kern w:val="2"/>
                      <w:sz w:val="18"/>
                      <w:szCs w:val="18"/>
                      <w:lang w:val="en-US" w:eastAsia="zh-CN" w:bidi="ar-SA"/>
                    </w:rPr>
                    <w:t>3.5</w:t>
                  </w:r>
                </w:p>
              </w:tc>
              <w:tc>
                <w:tcPr>
                  <w:tcW w:w="361" w:type="pct"/>
                  <w:vAlign w:val="center"/>
                </w:tcPr>
                <w:p>
                  <w:pPr>
                    <w:keepNext w:val="0"/>
                    <w:keepLines w:val="0"/>
                    <w:pageBreakBefore w:val="0"/>
                    <w:kinsoku/>
                    <w:wordWrap/>
                    <w:overflowPunct/>
                    <w:topLinePunct w:val="0"/>
                    <w:bidi w:val="0"/>
                    <w:spacing w:line="240" w:lineRule="auto"/>
                    <w:ind w:firstLine="0" w:firstLineChars="0"/>
                    <w:jc w:val="center"/>
                    <w:rPr>
                      <w:rFonts w:hint="eastAsia" w:eastAsia="宋体"/>
                      <w:b w:val="0"/>
                      <w:bCs w:val="0"/>
                      <w:color w:val="auto"/>
                      <w:sz w:val="18"/>
                      <w:szCs w:val="18"/>
                      <w:lang w:eastAsia="zh-CN"/>
                    </w:rPr>
                  </w:pPr>
                  <w:r>
                    <w:rPr>
                      <w:rFonts w:hint="eastAsia" w:eastAsia="宋体"/>
                      <w:b w:val="0"/>
                      <w:bCs w:val="0"/>
                      <w:color w:val="auto"/>
                      <w:sz w:val="18"/>
                      <w:szCs w:val="18"/>
                      <w:lang w:eastAsia="zh-CN"/>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34" w:type="pct"/>
                  <w:vMerge w:val="continue"/>
                  <w:vAlign w:val="center"/>
                </w:tcPr>
                <w:p>
                  <w:pPr>
                    <w:keepNext w:val="0"/>
                    <w:keepLines w:val="0"/>
                    <w:pageBreakBefore w:val="0"/>
                    <w:kinsoku/>
                    <w:wordWrap/>
                    <w:overflowPunct/>
                    <w:topLinePunct w:val="0"/>
                    <w:bidi w:val="0"/>
                    <w:spacing w:line="240" w:lineRule="auto"/>
                    <w:ind w:firstLine="0" w:firstLineChars="0"/>
                    <w:jc w:val="center"/>
                    <w:rPr>
                      <w:b w:val="0"/>
                      <w:bCs w:val="0"/>
                      <w:color w:val="auto"/>
                      <w:sz w:val="18"/>
                      <w:szCs w:val="18"/>
                    </w:rPr>
                  </w:pPr>
                </w:p>
              </w:tc>
              <w:tc>
                <w:tcPr>
                  <w:tcW w:w="420" w:type="pct"/>
                  <w:vAlign w:val="center"/>
                </w:tcPr>
                <w:p>
                  <w:pPr>
                    <w:spacing w:line="240" w:lineRule="auto"/>
                    <w:ind w:firstLine="0" w:firstLineChars="0"/>
                    <w:jc w:val="center"/>
                    <w:rPr>
                      <w:rFonts w:hint="default" w:eastAsia="宋体"/>
                      <w:b w:val="0"/>
                      <w:bCs w:val="0"/>
                      <w:color w:val="auto"/>
                      <w:sz w:val="18"/>
                      <w:szCs w:val="18"/>
                      <w:lang w:val="en-US" w:eastAsia="zh-CN"/>
                    </w:rPr>
                  </w:pPr>
                  <w:r>
                    <w:rPr>
                      <w:rFonts w:hint="eastAsia"/>
                      <w:b w:val="0"/>
                      <w:bCs w:val="0"/>
                      <w:color w:val="auto"/>
                      <w:sz w:val="18"/>
                      <w:szCs w:val="18"/>
                      <w:lang w:val="en-US" w:eastAsia="zh-CN"/>
                    </w:rPr>
                    <w:t>非甲烷总烃</w:t>
                  </w:r>
                </w:p>
              </w:tc>
              <w:tc>
                <w:tcPr>
                  <w:tcW w:w="572" w:type="pct"/>
                  <w:vMerge w:val="continue"/>
                  <w:vAlign w:val="center"/>
                </w:tcPr>
                <w:p>
                  <w:pPr>
                    <w:keepNext w:val="0"/>
                    <w:keepLines w:val="0"/>
                    <w:pageBreakBefore w:val="0"/>
                    <w:kinsoku/>
                    <w:wordWrap/>
                    <w:overflowPunct/>
                    <w:topLinePunct w:val="0"/>
                    <w:bidi w:val="0"/>
                    <w:spacing w:line="240" w:lineRule="auto"/>
                    <w:ind w:firstLine="0" w:firstLineChars="0"/>
                    <w:jc w:val="center"/>
                    <w:rPr>
                      <w:b w:val="0"/>
                      <w:bCs w:val="0"/>
                      <w:color w:val="auto"/>
                      <w:sz w:val="18"/>
                      <w:szCs w:val="18"/>
                    </w:rPr>
                  </w:pPr>
                </w:p>
              </w:tc>
              <w:tc>
                <w:tcPr>
                  <w:tcW w:w="593"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b w:val="0"/>
                      <w:bCs w:val="0"/>
                      <w:color w:val="auto"/>
                      <w:kern w:val="2"/>
                      <w:sz w:val="18"/>
                      <w:szCs w:val="18"/>
                      <w:lang w:val="en-US" w:eastAsia="zh-CN" w:bidi="ar-SA"/>
                    </w:rPr>
                  </w:pPr>
                  <w:r>
                    <w:rPr>
                      <w:rFonts w:hint="eastAsia" w:ascii="Times New Roman" w:hAnsi="Times New Roman" w:cs="Times New Roman"/>
                      <w:color w:val="auto"/>
                      <w:sz w:val="18"/>
                      <w:szCs w:val="18"/>
                      <w:highlight w:val="none"/>
                      <w:lang w:val="en-US" w:eastAsia="zh-CN"/>
                    </w:rPr>
                    <w:t>107.75</w:t>
                  </w:r>
                </w:p>
              </w:tc>
              <w:tc>
                <w:tcPr>
                  <w:tcW w:w="554"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b w:val="0"/>
                      <w:bCs w:val="0"/>
                      <w:color w:val="auto"/>
                      <w:kern w:val="2"/>
                      <w:sz w:val="18"/>
                      <w:szCs w:val="18"/>
                      <w:lang w:val="en-US" w:eastAsia="zh-CN" w:bidi="ar-SA"/>
                    </w:rPr>
                  </w:pPr>
                  <w:r>
                    <w:rPr>
                      <w:rFonts w:hint="eastAsia" w:ascii="Times New Roman" w:hAnsi="Times New Roman" w:cs="Times New Roman"/>
                      <w:color w:val="auto"/>
                      <w:sz w:val="18"/>
                      <w:szCs w:val="18"/>
                      <w:highlight w:val="none"/>
                      <w:lang w:val="en-US" w:eastAsia="zh-CN"/>
                    </w:rPr>
                    <w:t>1.616</w:t>
                  </w:r>
                </w:p>
              </w:tc>
              <w:tc>
                <w:tcPr>
                  <w:tcW w:w="447" w:type="pct"/>
                  <w:vMerge w:val="continue"/>
                  <w:vAlign w:val="center"/>
                </w:tcPr>
                <w:p>
                  <w:pPr>
                    <w:keepNext w:val="0"/>
                    <w:keepLines w:val="0"/>
                    <w:pageBreakBefore w:val="0"/>
                    <w:kinsoku/>
                    <w:wordWrap/>
                    <w:overflowPunct/>
                    <w:topLinePunct w:val="0"/>
                    <w:bidi w:val="0"/>
                    <w:spacing w:line="240" w:lineRule="auto"/>
                    <w:ind w:firstLine="0" w:firstLineChars="0"/>
                    <w:jc w:val="center"/>
                    <w:rPr>
                      <w:b w:val="0"/>
                      <w:bCs w:val="0"/>
                      <w:color w:val="auto"/>
                      <w:sz w:val="18"/>
                      <w:szCs w:val="18"/>
                    </w:rPr>
                  </w:pPr>
                </w:p>
              </w:tc>
              <w:tc>
                <w:tcPr>
                  <w:tcW w:w="516" w:type="pct"/>
                  <w:vAlign w:val="center"/>
                </w:tcPr>
                <w:p>
                  <w:pPr>
                    <w:keepNext w:val="0"/>
                    <w:keepLines w:val="0"/>
                    <w:pageBreakBefore w:val="0"/>
                    <w:kinsoku/>
                    <w:wordWrap/>
                    <w:overflowPunct/>
                    <w:topLinePunct w:val="0"/>
                    <w:bidi w:val="0"/>
                    <w:spacing w:line="240" w:lineRule="auto"/>
                    <w:ind w:firstLine="0" w:firstLineChars="0"/>
                    <w:jc w:val="center"/>
                    <w:rPr>
                      <w:rFonts w:hint="default" w:cs="Times New Roman"/>
                      <w:b w:val="0"/>
                      <w:bCs w:val="0"/>
                      <w:color w:val="auto"/>
                      <w:kern w:val="2"/>
                      <w:sz w:val="18"/>
                      <w:szCs w:val="18"/>
                      <w:lang w:val="en-US" w:eastAsia="zh-CN" w:bidi="ar-SA"/>
                    </w:rPr>
                  </w:pPr>
                  <w:r>
                    <w:rPr>
                      <w:rFonts w:hint="eastAsia" w:cs="Times New Roman"/>
                      <w:b w:val="0"/>
                      <w:bCs w:val="0"/>
                      <w:color w:val="auto"/>
                      <w:kern w:val="2"/>
                      <w:sz w:val="18"/>
                      <w:szCs w:val="18"/>
                      <w:lang w:val="en-US" w:eastAsia="zh-CN" w:bidi="ar-SA"/>
                    </w:rPr>
                    <w:t>0.002</w:t>
                  </w:r>
                </w:p>
              </w:tc>
              <w:tc>
                <w:tcPr>
                  <w:tcW w:w="593" w:type="pct"/>
                  <w:vAlign w:val="center"/>
                </w:tcPr>
                <w:p>
                  <w:pPr>
                    <w:pStyle w:val="76"/>
                    <w:snapToGrid w:val="0"/>
                    <w:ind w:firstLine="0" w:firstLineChars="0"/>
                    <w:rPr>
                      <w:rFonts w:hint="default" w:cs="Times New Roman"/>
                      <w:b w:val="0"/>
                      <w:bCs w:val="0"/>
                      <w:color w:val="auto"/>
                      <w:kern w:val="2"/>
                      <w:sz w:val="18"/>
                      <w:szCs w:val="18"/>
                      <w:lang w:val="en-US" w:eastAsia="zh-CN" w:bidi="ar-SA"/>
                    </w:rPr>
                  </w:pPr>
                  <w:r>
                    <w:rPr>
                      <w:rFonts w:hint="eastAsia" w:cs="Times New Roman"/>
                      <w:b w:val="0"/>
                      <w:bCs w:val="0"/>
                      <w:color w:val="auto"/>
                      <w:kern w:val="2"/>
                      <w:sz w:val="18"/>
                      <w:szCs w:val="18"/>
                      <w:lang w:val="en-US" w:eastAsia="zh-CN" w:bidi="ar-SA"/>
                    </w:rPr>
                    <w:t>20</w:t>
                  </w:r>
                </w:p>
              </w:tc>
              <w:tc>
                <w:tcPr>
                  <w:tcW w:w="506" w:type="pct"/>
                  <w:vAlign w:val="center"/>
                </w:tcPr>
                <w:p>
                  <w:pPr>
                    <w:pStyle w:val="76"/>
                    <w:snapToGrid w:val="0"/>
                    <w:ind w:firstLine="0" w:firstLineChars="0"/>
                    <w:rPr>
                      <w:rFonts w:hint="default" w:cs="Times New Roman"/>
                      <w:b w:val="0"/>
                      <w:bCs w:val="0"/>
                      <w:color w:val="auto"/>
                      <w:kern w:val="2"/>
                      <w:sz w:val="18"/>
                      <w:szCs w:val="18"/>
                      <w:lang w:val="en-US" w:eastAsia="zh-CN" w:bidi="ar-SA"/>
                    </w:rPr>
                  </w:pPr>
                  <w:r>
                    <w:rPr>
                      <w:rFonts w:hint="eastAsia" w:cs="Times New Roman"/>
                      <w:b w:val="0"/>
                      <w:bCs w:val="0"/>
                      <w:color w:val="auto"/>
                      <w:kern w:val="2"/>
                      <w:sz w:val="18"/>
                      <w:szCs w:val="18"/>
                      <w:lang w:val="en-US" w:eastAsia="zh-CN" w:bidi="ar-SA"/>
                    </w:rPr>
                    <w:t>/</w:t>
                  </w:r>
                </w:p>
              </w:tc>
              <w:tc>
                <w:tcPr>
                  <w:tcW w:w="361" w:type="pct"/>
                  <w:vAlign w:val="center"/>
                </w:tcPr>
                <w:p>
                  <w:pPr>
                    <w:keepNext w:val="0"/>
                    <w:keepLines w:val="0"/>
                    <w:pageBreakBefore w:val="0"/>
                    <w:kinsoku/>
                    <w:wordWrap/>
                    <w:overflowPunct/>
                    <w:topLinePunct w:val="0"/>
                    <w:bidi w:val="0"/>
                    <w:spacing w:line="240" w:lineRule="auto"/>
                    <w:ind w:firstLine="0" w:firstLineChars="0"/>
                    <w:jc w:val="center"/>
                    <w:rPr>
                      <w:rFonts w:hint="eastAsia" w:eastAsia="宋体"/>
                      <w:b w:val="0"/>
                      <w:bCs w:val="0"/>
                      <w:color w:val="auto"/>
                      <w:sz w:val="18"/>
                      <w:szCs w:val="18"/>
                      <w:lang w:eastAsia="zh-CN"/>
                    </w:rPr>
                  </w:pPr>
                  <w:r>
                    <w:rPr>
                      <w:rFonts w:hint="eastAsia"/>
                      <w:b w:val="0"/>
                      <w:bCs w:val="0"/>
                      <w:color w:val="auto"/>
                      <w:sz w:val="18"/>
                      <w:szCs w:val="18"/>
                      <w:lang w:eastAsia="zh-CN"/>
                    </w:rPr>
                    <w:t>超标</w:t>
                  </w:r>
                </w:p>
              </w:tc>
            </w:tr>
          </w:tbl>
          <w:p>
            <w:pPr>
              <w:adjustRightInd w:val="0"/>
              <w:snapToGrid w:val="0"/>
              <w:ind w:firstLine="480"/>
              <w:textAlignment w:val="center"/>
              <w:rPr>
                <w:color w:val="auto"/>
                <w:szCs w:val="21"/>
              </w:rPr>
            </w:pPr>
            <w:r>
              <w:rPr>
                <w:rFonts w:hint="eastAsia"/>
                <w:color w:val="auto"/>
                <w:szCs w:val="21"/>
              </w:rPr>
              <w:t>由上表可知，非正常工况下，DA001排气筒</w:t>
            </w:r>
            <w:r>
              <w:rPr>
                <w:rFonts w:hint="eastAsia"/>
                <w:color w:val="auto"/>
                <w:szCs w:val="21"/>
                <w:lang w:val="en-US" w:eastAsia="zh-CN"/>
              </w:rPr>
              <w:t>排放TSP的废气浓度、排放速率超过</w:t>
            </w:r>
            <w:r>
              <w:rPr>
                <w:rFonts w:hint="eastAsia" w:cs="Times New Roman"/>
                <w:color w:val="auto"/>
                <w:lang w:val="en-US" w:eastAsia="zh-CN"/>
              </w:rPr>
              <w:t>《大气污染物综合排放标准》（GB16297-1996）表2中的二级标准排放限值</w:t>
            </w:r>
            <w:r>
              <w:rPr>
                <w:rFonts w:hint="eastAsia" w:cs="Times New Roman"/>
                <w:color w:val="auto"/>
                <w:kern w:val="0"/>
                <w:lang w:eastAsia="zh-CN"/>
              </w:rPr>
              <w:t>，</w:t>
            </w:r>
            <w:r>
              <w:rPr>
                <w:rFonts w:hint="eastAsia"/>
                <w:color w:val="auto"/>
                <w:szCs w:val="21"/>
                <w:lang w:val="en-US" w:eastAsia="zh-CN"/>
              </w:rPr>
              <w:t>非甲烷总烃</w:t>
            </w:r>
            <w:r>
              <w:rPr>
                <w:rFonts w:hint="eastAsia"/>
                <w:color w:val="auto"/>
                <w:szCs w:val="21"/>
              </w:rPr>
              <w:t>的</w:t>
            </w:r>
            <w:r>
              <w:rPr>
                <w:rFonts w:hint="eastAsia"/>
                <w:color w:val="auto"/>
                <w:szCs w:val="21"/>
                <w:lang w:eastAsia="zh-CN"/>
              </w:rPr>
              <w:t>废气</w:t>
            </w:r>
            <w:r>
              <w:rPr>
                <w:rFonts w:hint="eastAsia"/>
                <w:color w:val="auto"/>
                <w:szCs w:val="21"/>
              </w:rPr>
              <w:t>浓度</w:t>
            </w:r>
            <w:r>
              <w:rPr>
                <w:rFonts w:hint="eastAsia"/>
                <w:color w:val="auto"/>
                <w:szCs w:val="21"/>
                <w:lang w:eastAsia="zh-CN"/>
              </w:rPr>
              <w:t>超过江西省《挥发性有机物排放标准 第4部分：塑料制品业》（DB36 1101.4-2019）中相关标准</w:t>
            </w:r>
            <w:r>
              <w:rPr>
                <w:rFonts w:hint="eastAsia"/>
                <w:color w:val="auto"/>
                <w:szCs w:val="21"/>
              </w:rPr>
              <w:t>限值。为了不降低周边空气质量现状，防止废气非正常工况排放，企业须加强废气处理设施的管理，定期检修，确保废气处理设施正常运行。</w:t>
            </w:r>
          </w:p>
          <w:p>
            <w:pPr>
              <w:adjustRightInd w:val="0"/>
              <w:snapToGrid w:val="0"/>
              <w:ind w:firstLine="480"/>
              <w:textAlignment w:val="center"/>
              <w:rPr>
                <w:color w:val="auto"/>
                <w:szCs w:val="21"/>
              </w:rPr>
            </w:pPr>
            <w:r>
              <w:rPr>
                <w:rFonts w:hint="eastAsia"/>
                <w:color w:val="auto"/>
                <w:szCs w:val="21"/>
              </w:rPr>
              <w:t>为杜绝废气非正常排放，应采取以下措施：</w:t>
            </w:r>
          </w:p>
          <w:p>
            <w:pPr>
              <w:adjustRightInd w:val="0"/>
              <w:snapToGrid w:val="0"/>
              <w:ind w:firstLine="480"/>
              <w:textAlignment w:val="center"/>
              <w:rPr>
                <w:color w:val="0000E1"/>
                <w:szCs w:val="21"/>
              </w:rPr>
            </w:pPr>
            <w:r>
              <w:rPr>
                <w:rFonts w:hint="eastAsia" w:ascii="宋体" w:hAnsi="宋体"/>
                <w:color w:val="0000E1"/>
                <w:szCs w:val="21"/>
              </w:rPr>
              <w:t>①</w:t>
            </w:r>
            <w:r>
              <w:rPr>
                <w:rFonts w:hint="eastAsia"/>
                <w:color w:val="0000E1"/>
                <w:szCs w:val="21"/>
              </w:rPr>
              <w:t>安排专人负责环保设备的日常维护和管理，定期检查、汇报情况，技师发现废气处理设备的隐患，确保废气处理系统正常运行；</w:t>
            </w:r>
          </w:p>
          <w:p>
            <w:pPr>
              <w:adjustRightInd w:val="0"/>
              <w:snapToGrid w:val="0"/>
              <w:ind w:firstLine="480"/>
              <w:textAlignment w:val="center"/>
              <w:rPr>
                <w:color w:val="0000E1"/>
                <w:szCs w:val="21"/>
              </w:rPr>
            </w:pPr>
            <w:r>
              <w:rPr>
                <w:rFonts w:hint="eastAsia" w:ascii="宋体" w:hAnsi="宋体"/>
                <w:color w:val="0000E1"/>
                <w:szCs w:val="21"/>
              </w:rPr>
              <w:t>②</w:t>
            </w:r>
            <w:r>
              <w:rPr>
                <w:rFonts w:hint="eastAsia"/>
                <w:color w:val="0000E1"/>
                <w:szCs w:val="21"/>
              </w:rPr>
              <w:t>建立健全的环保管理机构，对环保管理人员和技术人员进行岗位培训，委托具有专业资质的环境检测单位对项目排放的各类污染物进行定期检测；</w:t>
            </w:r>
          </w:p>
          <w:p>
            <w:pPr>
              <w:adjustRightInd w:val="0"/>
              <w:snapToGrid w:val="0"/>
              <w:ind w:firstLine="480"/>
              <w:textAlignment w:val="center"/>
              <w:rPr>
                <w:color w:val="0000E1"/>
                <w:szCs w:val="21"/>
              </w:rPr>
            </w:pPr>
            <w:r>
              <w:rPr>
                <w:rFonts w:hint="eastAsia" w:ascii="宋体" w:hAnsi="宋体"/>
                <w:color w:val="0000E1"/>
                <w:szCs w:val="21"/>
              </w:rPr>
              <w:t>③</w:t>
            </w:r>
            <w:r>
              <w:rPr>
                <w:rFonts w:hint="eastAsia"/>
                <w:color w:val="0000E1"/>
                <w:szCs w:val="21"/>
              </w:rPr>
              <w:t>应定期维护、检修废气净化装置，以保持废气处理装置的净化能力和净化容量。</w:t>
            </w:r>
          </w:p>
          <w:p>
            <w:pPr>
              <w:pStyle w:val="49"/>
              <w:spacing w:line="440" w:lineRule="exact"/>
              <w:ind w:firstLine="480"/>
              <w:rPr>
                <w:rFonts w:hint="default" w:ascii="Times New Roman" w:hAnsi="Times New Roman" w:eastAsia="宋体" w:cs="Times New Roman"/>
                <w:color w:val="0000E1"/>
                <w:szCs w:val="21"/>
                <w:lang w:val="en-US" w:eastAsia="zh-CN"/>
              </w:rPr>
            </w:pPr>
            <w:r>
              <w:rPr>
                <w:rFonts w:hint="eastAsia" w:ascii="Times New Roman" w:hAnsi="Times New Roman" w:cs="Times New Roman"/>
                <w:color w:val="0000E1"/>
                <w:szCs w:val="21"/>
                <w:lang w:eastAsia="zh-CN"/>
              </w:rPr>
              <w:t>④当发生废气处理设施故障导致废气非正常排放时，应立即停止生产，对故障废气设备进行维修并开展废气监测。</w:t>
            </w:r>
          </w:p>
          <w:p>
            <w:pPr>
              <w:pStyle w:val="49"/>
              <w:spacing w:line="440" w:lineRule="exact"/>
              <w:ind w:firstLine="480"/>
              <w:rPr>
                <w:rFonts w:ascii="Times New Roman" w:hAnsi="Times New Roman" w:cs="Times New Roman"/>
                <w:color w:val="0000FF"/>
                <w:szCs w:val="21"/>
              </w:rPr>
            </w:pPr>
            <w:r>
              <w:rPr>
                <w:rFonts w:ascii="Times New Roman" w:hAnsi="Times New Roman" w:cs="Times New Roman"/>
                <w:color w:val="0000FF"/>
                <w:szCs w:val="21"/>
              </w:rPr>
              <w:t>1.3废气治理措施</w:t>
            </w:r>
          </w:p>
          <w:p>
            <w:pPr>
              <w:pStyle w:val="49"/>
              <w:spacing w:line="440" w:lineRule="exact"/>
              <w:ind w:firstLine="480"/>
              <w:rPr>
                <w:rFonts w:hint="default" w:ascii="Times New Roman" w:hAnsi="Times New Roman" w:eastAsia="宋体" w:cs="Times New Roman"/>
                <w:color w:val="0000FF"/>
                <w:lang w:val="en-US" w:eastAsia="zh-CN"/>
              </w:rPr>
            </w:pPr>
            <w:r>
              <w:rPr>
                <w:rFonts w:hint="default" w:ascii="Times New Roman" w:hAnsi="Times New Roman" w:eastAsia="宋体" w:cs="Times New Roman"/>
                <w:color w:val="0000FF"/>
                <w:szCs w:val="21"/>
              </w:rPr>
              <w:t xml:space="preserve">根据《排污许可证申请与核发技术规范 </w:t>
            </w:r>
            <w:r>
              <w:rPr>
                <w:rFonts w:hint="eastAsia" w:ascii="Times New Roman" w:hAnsi="Times New Roman" w:cs="Times New Roman"/>
                <w:color w:val="0000FF"/>
                <w:szCs w:val="21"/>
                <w:lang w:eastAsia="zh-CN"/>
              </w:rPr>
              <w:t>橡胶和塑料制品工业</w:t>
            </w:r>
            <w:r>
              <w:rPr>
                <w:rFonts w:hint="default" w:ascii="Times New Roman" w:hAnsi="Times New Roman" w:eastAsia="宋体" w:cs="Times New Roman"/>
                <w:color w:val="0000FF"/>
                <w:szCs w:val="21"/>
              </w:rPr>
              <w:t>》（HJ</w:t>
            </w:r>
            <w:r>
              <w:rPr>
                <w:rFonts w:hint="default" w:ascii="Times New Roman" w:hAnsi="Times New Roman" w:eastAsia="宋体" w:cs="Times New Roman"/>
                <w:color w:val="0000FF"/>
                <w:szCs w:val="21"/>
                <w:lang w:val="en-US" w:eastAsia="zh-CN"/>
              </w:rPr>
              <w:t>11</w:t>
            </w:r>
            <w:r>
              <w:rPr>
                <w:rFonts w:hint="eastAsia" w:ascii="Times New Roman" w:hAnsi="Times New Roman" w:cs="Times New Roman"/>
                <w:color w:val="0000FF"/>
                <w:szCs w:val="21"/>
                <w:lang w:val="en-US" w:eastAsia="zh-CN"/>
              </w:rPr>
              <w:t>22</w:t>
            </w:r>
            <w:r>
              <w:rPr>
                <w:rFonts w:hint="default" w:ascii="Times New Roman" w:hAnsi="Times New Roman" w:eastAsia="宋体" w:cs="Times New Roman"/>
                <w:color w:val="0000FF"/>
                <w:szCs w:val="21"/>
                <w:lang w:val="en-US" w:eastAsia="zh-CN"/>
              </w:rPr>
              <w:t>-2020</w:t>
            </w:r>
            <w:r>
              <w:rPr>
                <w:rFonts w:hint="default" w:ascii="Times New Roman" w:hAnsi="Times New Roman" w:eastAsia="宋体" w:cs="Times New Roman"/>
                <w:color w:val="0000FF"/>
                <w:szCs w:val="21"/>
              </w:rPr>
              <w:t>）</w:t>
            </w:r>
            <w:r>
              <w:rPr>
                <w:rFonts w:hint="default" w:ascii="Times New Roman" w:hAnsi="Times New Roman" w:eastAsia="宋体" w:cs="Times New Roman"/>
                <w:color w:val="0000FF"/>
                <w:szCs w:val="21"/>
                <w:lang w:eastAsia="zh-CN"/>
              </w:rPr>
              <w:t>中</w:t>
            </w:r>
            <w:r>
              <w:rPr>
                <w:rFonts w:hint="eastAsia" w:ascii="Times New Roman" w:hAnsi="Times New Roman" w:cs="Times New Roman"/>
                <w:color w:val="0000FF"/>
                <w:szCs w:val="21"/>
                <w:lang w:eastAsia="zh-CN"/>
              </w:rPr>
              <w:t>“</w:t>
            </w:r>
            <w:r>
              <w:rPr>
                <w:rFonts w:hint="default" w:ascii="Times New Roman" w:hAnsi="Times New Roman" w:eastAsia="宋体" w:cs="Times New Roman"/>
                <w:color w:val="0000FF"/>
                <w:szCs w:val="21"/>
                <w:lang w:eastAsia="zh-CN"/>
              </w:rPr>
              <w:t>表</w:t>
            </w:r>
            <w:r>
              <w:rPr>
                <w:rFonts w:hint="default" w:ascii="Times New Roman" w:hAnsi="Times New Roman" w:eastAsia="宋体" w:cs="Times New Roman"/>
                <w:color w:val="0000FF"/>
                <w:szCs w:val="21"/>
                <w:lang w:val="en-US" w:eastAsia="zh-CN"/>
              </w:rPr>
              <w:t>A</w:t>
            </w:r>
            <w:r>
              <w:rPr>
                <w:rFonts w:hint="eastAsia" w:ascii="Times New Roman" w:hAnsi="Times New Roman" w:eastAsia="宋体" w:cs="Times New Roman"/>
                <w:color w:val="0000FF"/>
                <w:szCs w:val="21"/>
                <w:lang w:val="en-US" w:eastAsia="zh-CN"/>
              </w:rPr>
              <w:t>2</w:t>
            </w:r>
            <w:r>
              <w:rPr>
                <w:rFonts w:hint="default" w:ascii="Times New Roman" w:hAnsi="Times New Roman" w:eastAsia="宋体" w:cs="Times New Roman"/>
                <w:color w:val="0000FF"/>
                <w:szCs w:val="21"/>
                <w:lang w:val="en-US" w:eastAsia="zh-CN"/>
              </w:rPr>
              <w:t xml:space="preserve"> </w:t>
            </w:r>
            <w:r>
              <w:rPr>
                <w:rFonts w:hint="eastAsia" w:ascii="Times New Roman" w:hAnsi="Times New Roman" w:eastAsia="宋体" w:cs="Times New Roman"/>
                <w:color w:val="0000FF"/>
                <w:szCs w:val="21"/>
                <w:lang w:val="en-US" w:eastAsia="zh-CN"/>
              </w:rPr>
              <w:t>塑料制品工业排污单位废气污染防治可行性技术参考表</w:t>
            </w:r>
            <w:r>
              <w:rPr>
                <w:rFonts w:hint="default" w:ascii="Times New Roman" w:hAnsi="Times New Roman" w:eastAsia="宋体" w:cs="Times New Roman"/>
                <w:color w:val="0000FF"/>
                <w:szCs w:val="21"/>
                <w:lang w:eastAsia="zh-CN"/>
              </w:rPr>
              <w:t>”</w:t>
            </w:r>
            <w:r>
              <w:rPr>
                <w:rFonts w:hint="eastAsia" w:ascii="Times New Roman" w:hAnsi="Times New Roman" w:eastAsia="宋体" w:cs="Times New Roman"/>
                <w:color w:val="0000FF"/>
                <w:szCs w:val="21"/>
                <w:lang w:eastAsia="zh-CN"/>
              </w:rPr>
              <w:t>塑料板、管、型材制造产生的的</w:t>
            </w:r>
            <w:r>
              <w:rPr>
                <w:rFonts w:hint="eastAsia" w:ascii="Times New Roman" w:hAnsi="Times New Roman" w:eastAsia="宋体" w:cs="Times New Roman"/>
                <w:color w:val="0000FF"/>
                <w:szCs w:val="21"/>
                <w:lang w:val="en-US" w:eastAsia="zh-CN"/>
              </w:rPr>
              <w:t>VOCs治理可行技术为喷淋、吸附、吸附浓缩+热力燃烧/催化燃烧，颗粒物治理可行技术为袋式除尘、滤筒/滤芯除尘</w:t>
            </w:r>
            <w:r>
              <w:rPr>
                <w:rFonts w:hint="default" w:ascii="Times New Roman" w:hAnsi="Times New Roman" w:eastAsia="宋体" w:cs="Times New Roman"/>
                <w:color w:val="0000FF"/>
                <w:lang w:val="en-US" w:eastAsia="zh-CN"/>
              </w:rPr>
              <w:t>。</w:t>
            </w:r>
            <w:r>
              <w:rPr>
                <w:rFonts w:hint="eastAsia" w:ascii="Times New Roman" w:hAnsi="Times New Roman" w:cs="Times New Roman"/>
                <w:color w:val="0000FF"/>
                <w:lang w:val="en-US" w:eastAsia="zh-CN"/>
              </w:rPr>
              <w:t>本项目产生的颗粒物采用布袋除尘器处理，非甲烷总烃采用UV光解+两级活性炭吸附处理。</w:t>
            </w:r>
          </w:p>
          <w:p>
            <w:pPr>
              <w:pStyle w:val="49"/>
              <w:spacing w:line="440" w:lineRule="exact"/>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（1）项目粉尘废气处理措施及可行性分析</w:t>
            </w:r>
          </w:p>
          <w:p>
            <w:pPr>
              <w:pStyle w:val="49"/>
              <w:spacing w:line="440" w:lineRule="exact"/>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布袋除尘器工作原理：袋式除尘器是含尘气体通过滤袋滤去其中粉尘离子的分离捕集装置，是过滤式除尘器的一种，待净化的气体通过袋式除尘器时，粉尘颗粒被滤层捕集被子留在滤料层中，得到净化的气体排放。捕尘后的滤尘经清灰、再生后可重复使用。袋式除尘器运行稳定可靠，操作维护简单，处理烟气量可从几立方米每小时到几百万立方米每小时，净化效率高，对含微米或亚微米数量级的粉尘效率可达99%，甚至可达99.99%；可捕集多种干性粉尘，项目混料工序粉尘采用布袋除尘器进行除尘，措施可行。</w:t>
            </w:r>
          </w:p>
          <w:p>
            <w:pPr>
              <w:pStyle w:val="49"/>
              <w:spacing w:line="440" w:lineRule="exact"/>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（2）项目有机废气处理措施及可行性分析</w:t>
            </w:r>
          </w:p>
          <w:p>
            <w:pPr>
              <w:pStyle w:val="49"/>
              <w:spacing w:line="440" w:lineRule="exact"/>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根据《浙江省生态环境厅办公室关于开展“十三五”挥发性有机物排放量试算工作的通知》相关内容，UV光解设备有机废气去除效率为10-20%（根据注解，组合工艺按最高一档的单一处理工艺处理效率进行取值，本项目环保设备采用UV光解+二级活性炭吸附装置，因此去除率取最高一档20%计）；本项目活性炭吸附装置吸附介质选用蜂窝状活性炭，具有较大的比表面积（1000m</w:t>
            </w:r>
            <w:r>
              <w:rPr>
                <w:rFonts w:hint="eastAsia" w:ascii="Times New Roman" w:hAnsi="Times New Roman" w:cs="Times New Roman"/>
                <w:color w:val="0000FF"/>
                <w:vertAlign w:val="superscript"/>
                <w:lang w:val="en-US" w:eastAsia="zh-CN"/>
              </w:rPr>
              <w:t>2</w:t>
            </w:r>
            <w:r>
              <w:rPr>
                <w:rFonts w:hint="eastAsia" w:ascii="Times New Roman" w:hAnsi="Times New Roman" w:cs="Times New Roman"/>
                <w:color w:val="0000FF"/>
                <w:lang w:val="en-US" w:eastAsia="zh-CN"/>
              </w:rPr>
              <w:t>/g），粒度为8~30目，碘值大于800mg/g，活性炭在液相、气相中对有机物吸附效率高，吸、脱附速度快，并可再生循环使用，同时耐酸、碱，耐高温，适应性强，两级活性炭装置对有机废气的处理效率能达到80%以上。</w:t>
            </w:r>
          </w:p>
          <w:p>
            <w:pPr>
              <w:pStyle w:val="49"/>
              <w:spacing w:line="440" w:lineRule="exact"/>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因此，本项目产生的颗粒物采用布袋除尘器处理，非甲烷总烃采用UV光解+两级活性炭吸附处理是可行的。考虑到活性逐渐饱和后吸附效果随时下降，因此需要定期更换吸附饱和的活性炭。</w:t>
            </w:r>
          </w:p>
          <w:p>
            <w:pPr>
              <w:pStyle w:val="49"/>
              <w:spacing w:line="440" w:lineRule="exact"/>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参考《分散吸附-集中再生活性炭法挥发性有机物治理体系建设技术指南（试行）》（浙江省生态环境厅，2021年11月）中的要求：活性炭更换周期一般不应超过累计运行500小时。项目年运行时间2400h，则活性炭个能换时间为4.8次，保险起见，本环评取5次，故需60天更换一次活性炭。</w:t>
            </w:r>
          </w:p>
          <w:p>
            <w:pPr>
              <w:pStyle w:val="49"/>
              <w:spacing w:line="440" w:lineRule="exact"/>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活性炭日常维护管理要求：为保证二级活性炭吸附装置的正常运行，项目应制定完善二级活性炭吸附装置运行管理制度，加强管理，具体内容入下：</w:t>
            </w:r>
          </w:p>
          <w:p>
            <w:pPr>
              <w:pStyle w:val="49"/>
              <w:spacing w:line="440" w:lineRule="exact"/>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①废气处理设施的日常维护主要以巡查、检修为主，建立活性炭吸收装置日常运行管理制度，配备专人管理，确保该装置正常运行；建立活性炭使用量台账制度。</w:t>
            </w:r>
          </w:p>
          <w:p>
            <w:pPr>
              <w:pStyle w:val="49"/>
              <w:spacing w:line="440" w:lineRule="exact"/>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②活性炭吸附装置运行后，当活性炭吸附孔堵塞从而造成活性炭吸附装置出入口压损增大，会导致活性炭运行不正。为确保活性炭吸附装置正常运行，发挥其正常的吸附作用，配备专人对活性炭吸附装置进出口压差表进行日常巡查并记录，若使用蜂窝状或其他种类的活性炭作为吸附剂时，废气处理设施吸附单元压力损失应小于2.5Kpa；若使用纤维状活性炭作为吸附剂，废气处理设施吸附单元压力损失应小于4.0Kpa。</w:t>
            </w:r>
          </w:p>
          <w:p>
            <w:pPr>
              <w:pStyle w:val="49"/>
              <w:spacing w:line="440" w:lineRule="exact"/>
              <w:ind w:firstLine="480"/>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③活性炭吸附装置运行后，为确保活性炭吸附装置中有机废气达标排放，活性炭需定期更换。严禁在生产设备运行时间内进行活性炭更换，企业更换时段可设在停机阶段进行，吸收装置内活性炭需定期更换，结合项目有机废气排放特征，通常为一年更换一至两次，具体可根据活性炭吸附装置收集处理废气的量及浓度调整更换周期。活性炭吸附装置需更换活性炭时，应做好活性炭更换记录填报，记录更换日期、治理设施名称或编号、废活性炭重量等相关信息。</w:t>
            </w:r>
          </w:p>
          <w:p>
            <w:pPr>
              <w:pStyle w:val="49"/>
              <w:spacing w:line="440" w:lineRule="exact"/>
              <w:ind w:firstLine="480"/>
              <w:rPr>
                <w:rFonts w:hint="default" w:ascii="Times New Roman" w:hAnsi="Times New Roman" w:cs="Times New Roman"/>
                <w:color w:val="0000FF"/>
                <w:lang w:val="en-US" w:eastAsia="zh-CN"/>
              </w:rPr>
            </w:pPr>
            <w:r>
              <w:rPr>
                <w:rFonts w:hint="eastAsia" w:ascii="Times New Roman" w:hAnsi="Times New Roman" w:cs="Times New Roman"/>
                <w:color w:val="0000FF"/>
                <w:lang w:val="en-US" w:eastAsia="zh-CN"/>
              </w:rPr>
              <w:t>④活性炭需更换时，产生的废活性炭应采用封闭式的容器进行暂存，以减少贮存过程中吸附废气的重新挥发。废活性炭需由有资质专业单位回收利用或迟滞，废活性炭收集、临时贮存及处置应符合国家有关危废处置的规定要求。</w:t>
            </w:r>
          </w:p>
          <w:p>
            <w:pPr>
              <w:pStyle w:val="49"/>
              <w:spacing w:line="440" w:lineRule="exact"/>
              <w:ind w:firstLine="480"/>
              <w:rPr>
                <w:rFonts w:ascii="Times New Roman" w:hAnsi="Times New Roman" w:cs="Times New Roman"/>
                <w:color w:val="0000FF"/>
                <w:szCs w:val="21"/>
              </w:rPr>
            </w:pPr>
            <w:r>
              <w:rPr>
                <w:rFonts w:ascii="Times New Roman" w:hAnsi="Times New Roman" w:cs="Times New Roman"/>
                <w:color w:val="0000FF"/>
                <w:szCs w:val="21"/>
              </w:rPr>
              <w:t>项目废气处理设施的具体工艺流程见图4-1。</w:t>
            </w:r>
          </w:p>
          <w:p>
            <w:pPr>
              <w:pStyle w:val="49"/>
              <w:spacing w:line="240" w:lineRule="auto"/>
              <w:ind w:firstLine="0" w:firstLineChars="0"/>
              <w:jc w:val="center"/>
              <w:rPr>
                <w:rFonts w:ascii="Times New Roman" w:hAnsi="Times New Roman" w:cs="Times New Roman"/>
                <w:b/>
                <w:bCs/>
                <w:color w:val="0000FF"/>
                <w:sz w:val="21"/>
                <w:szCs w:val="21"/>
              </w:rPr>
            </w:pPr>
            <w:r>
              <w:rPr>
                <w:rFonts w:ascii="Times New Roman" w:hAnsi="Times New Roman" w:cs="Times New Roman"/>
                <w:color w:val="0000FF"/>
                <w:szCs w:val="21"/>
              </w:rPr>
              <w:pict>
                <v:shape id="_x0000_s1039" o:spid="_x0000_s1039" o:spt="75" type="#_x0000_t75" style="position:absolute;left:0pt;margin-left:64.05pt;margin-top:6.9pt;height:70.65pt;width:306pt;z-index:251663360;mso-width-relative:page;mso-height-relative:page;" o:ole="t" filled="f" o:preferrelative="t" stroked="f" coordsize="21600,21600">
                  <v:path/>
                  <v:fill on="f" focussize="0,0"/>
                  <v:stroke on="f"/>
                  <v:imagedata r:id="rId25" croptop="9230f" cropbottom="12830f" o:title=""/>
                  <o:lock v:ext="edit" aspectratio="f"/>
                </v:shape>
                <o:OLEObject Type="Embed" ProgID="Visio.Drawing.15" ShapeID="_x0000_s1039" DrawAspect="Content" ObjectID="_1468075726" r:id="rId24">
                  <o:LockedField>false</o:LockedField>
                </o:OLEObject>
              </w:pict>
            </w:r>
          </w:p>
          <w:p>
            <w:pPr>
              <w:pStyle w:val="49"/>
              <w:spacing w:line="240" w:lineRule="auto"/>
              <w:ind w:firstLine="0" w:firstLineChars="0"/>
              <w:jc w:val="center"/>
              <w:rPr>
                <w:rFonts w:ascii="Times New Roman" w:hAnsi="Times New Roman" w:cs="Times New Roman"/>
                <w:b/>
                <w:bCs/>
                <w:color w:val="0000FF"/>
                <w:sz w:val="21"/>
                <w:szCs w:val="21"/>
              </w:rPr>
            </w:pPr>
          </w:p>
          <w:p>
            <w:pPr>
              <w:pStyle w:val="49"/>
              <w:spacing w:line="240" w:lineRule="auto"/>
              <w:ind w:firstLine="0" w:firstLineChars="0"/>
              <w:jc w:val="center"/>
              <w:rPr>
                <w:rFonts w:ascii="Times New Roman" w:hAnsi="Times New Roman" w:cs="Times New Roman"/>
                <w:b/>
                <w:bCs/>
                <w:color w:val="0000FF"/>
                <w:sz w:val="21"/>
                <w:szCs w:val="21"/>
              </w:rPr>
            </w:pPr>
          </w:p>
          <w:p>
            <w:pPr>
              <w:pStyle w:val="49"/>
              <w:spacing w:line="240" w:lineRule="auto"/>
              <w:ind w:firstLine="0" w:firstLineChars="0"/>
              <w:jc w:val="center"/>
              <w:rPr>
                <w:rFonts w:ascii="Times New Roman" w:hAnsi="Times New Roman" w:cs="Times New Roman"/>
                <w:b/>
                <w:bCs/>
                <w:color w:val="0000FF"/>
                <w:sz w:val="21"/>
                <w:szCs w:val="21"/>
              </w:rPr>
            </w:pPr>
          </w:p>
          <w:p>
            <w:pPr>
              <w:pStyle w:val="49"/>
              <w:spacing w:line="240" w:lineRule="auto"/>
              <w:ind w:firstLine="0" w:firstLineChars="0"/>
              <w:jc w:val="center"/>
              <w:rPr>
                <w:rFonts w:ascii="Times New Roman" w:hAnsi="Times New Roman" w:cs="Times New Roman"/>
                <w:b/>
                <w:bCs/>
                <w:color w:val="0000FF"/>
                <w:sz w:val="21"/>
                <w:szCs w:val="21"/>
              </w:rPr>
            </w:pPr>
          </w:p>
          <w:p>
            <w:pPr>
              <w:pStyle w:val="49"/>
              <w:spacing w:line="240" w:lineRule="auto"/>
              <w:ind w:firstLine="0" w:firstLineChars="0"/>
              <w:jc w:val="center"/>
              <w:rPr>
                <w:rFonts w:ascii="Times New Roman" w:hAnsi="Times New Roman" w:cs="Times New Roman"/>
                <w:b/>
                <w:bCs/>
                <w:color w:val="0000FF"/>
                <w:sz w:val="21"/>
                <w:szCs w:val="21"/>
              </w:rPr>
            </w:pPr>
          </w:p>
          <w:p>
            <w:pPr>
              <w:pStyle w:val="49"/>
              <w:spacing w:line="240" w:lineRule="auto"/>
              <w:ind w:firstLine="0" w:firstLineChars="0"/>
              <w:jc w:val="center"/>
              <w:rPr>
                <w:rFonts w:ascii="Times New Roman" w:hAnsi="Times New Roman" w:cs="Times New Roman"/>
                <w:b/>
                <w:bCs/>
                <w:color w:val="0000FF"/>
                <w:sz w:val="21"/>
                <w:szCs w:val="21"/>
              </w:rPr>
            </w:pPr>
          </w:p>
          <w:p>
            <w:pPr>
              <w:pStyle w:val="49"/>
              <w:spacing w:line="240" w:lineRule="auto"/>
              <w:ind w:firstLine="0" w:firstLineChars="0"/>
              <w:jc w:val="center"/>
              <w:rPr>
                <w:rFonts w:ascii="Times New Roman" w:hAnsi="Times New Roman" w:cs="Times New Roman"/>
                <w:b/>
                <w:bCs/>
                <w:color w:val="0000FF"/>
                <w:sz w:val="21"/>
                <w:szCs w:val="21"/>
              </w:rPr>
            </w:pPr>
            <w:r>
              <w:rPr>
                <w:rFonts w:ascii="Times New Roman" w:hAnsi="Times New Roman" w:cs="Times New Roman"/>
                <w:b/>
                <w:bCs/>
                <w:color w:val="0000FF"/>
                <w:sz w:val="21"/>
                <w:szCs w:val="21"/>
              </w:rPr>
              <w:t>图4-1  项目废气处理工艺流程图</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default" w:cs="Times New Roman"/>
                <w:color w:val="auto"/>
                <w:lang w:val="en-US" w:eastAsia="zh-CN"/>
              </w:rPr>
            </w:pPr>
            <w:r>
              <w:rPr>
                <w:rFonts w:hint="eastAsia" w:cs="Times New Roman"/>
                <w:color w:val="auto"/>
                <w:lang w:val="en-US" w:eastAsia="zh-CN"/>
              </w:rPr>
              <w:t>1.4废气环境影响分析</w:t>
            </w:r>
          </w:p>
          <w:p>
            <w:pPr>
              <w:pStyle w:val="49"/>
              <w:spacing w:line="440" w:lineRule="exact"/>
              <w:ind w:firstLine="480"/>
              <w:rPr>
                <w:rFonts w:hint="default" w:ascii="Times New Roman" w:hAnsi="Times New Roman" w:cs="Times New Roman"/>
                <w:color w:val="auto"/>
                <w:szCs w:val="21"/>
              </w:rPr>
            </w:pPr>
            <w:r>
              <w:rPr>
                <w:rFonts w:hint="default" w:ascii="Times New Roman" w:hAnsi="Times New Roman" w:cs="Times New Roman"/>
                <w:color w:val="auto"/>
                <w:szCs w:val="21"/>
              </w:rPr>
              <w:t>项目</w:t>
            </w:r>
            <w:r>
              <w:rPr>
                <w:rFonts w:hint="default" w:ascii="Times New Roman" w:hAnsi="Times New Roman" w:cs="Times New Roman"/>
                <w:color w:val="auto"/>
                <w:szCs w:val="21"/>
                <w:lang w:eastAsia="zh-CN"/>
              </w:rPr>
              <w:t>生产过程中产生的颗粒物经</w:t>
            </w:r>
            <w:r>
              <w:rPr>
                <w:rFonts w:hint="eastAsia" w:ascii="Times New Roman" w:hAnsi="Times New Roman" w:cs="Times New Roman"/>
                <w:color w:val="auto"/>
                <w:szCs w:val="21"/>
                <w:lang w:eastAsia="zh-CN"/>
              </w:rPr>
              <w:t>布袋除尘器</w:t>
            </w:r>
            <w:r>
              <w:rPr>
                <w:rFonts w:hint="default" w:ascii="Times New Roman" w:hAnsi="Times New Roman" w:cs="Times New Roman"/>
                <w:color w:val="auto"/>
                <w:szCs w:val="21"/>
                <w:lang w:eastAsia="zh-CN"/>
              </w:rPr>
              <w:t>处理</w:t>
            </w:r>
            <w:r>
              <w:rPr>
                <w:rFonts w:hint="eastAsia" w:ascii="Times New Roman" w:hAnsi="Times New Roman" w:cs="Times New Roman"/>
                <w:color w:val="auto"/>
                <w:szCs w:val="21"/>
                <w:lang w:val="en-US" w:eastAsia="zh-CN"/>
              </w:rPr>
              <w:t>处理后</w:t>
            </w:r>
            <w:r>
              <w:rPr>
                <w:rFonts w:hint="default" w:ascii="Times New Roman" w:hAnsi="Times New Roman" w:cs="Times New Roman"/>
                <w:color w:val="auto"/>
                <w:szCs w:val="21"/>
                <w:lang w:eastAsia="zh-CN"/>
              </w:rPr>
              <w:t>能达到《大气污染物综合排放标准》（GB16297-1996）表2中的二级标准</w:t>
            </w:r>
            <w:r>
              <w:rPr>
                <w:rFonts w:hint="default" w:ascii="Times New Roman" w:hAnsi="Times New Roman" w:cs="Times New Roman"/>
                <w:color w:val="auto"/>
                <w:szCs w:val="21"/>
              </w:rPr>
              <w:t>排放限值，</w:t>
            </w:r>
            <w:r>
              <w:rPr>
                <w:rFonts w:hint="eastAsia" w:ascii="Times New Roman" w:hAnsi="Times New Roman" w:cs="Times New Roman"/>
                <w:color w:val="auto"/>
                <w:szCs w:val="21"/>
                <w:lang w:val="en-US" w:eastAsia="zh-CN"/>
              </w:rPr>
              <w:t>非甲烷总烃经UV光解+两级活性炭吸附装置处理后能达到江西省《挥发性有机物排放标准 第4部分：塑料制品业》（DB36 1101.4-2019）中排放限值，</w:t>
            </w:r>
            <w:r>
              <w:rPr>
                <w:rFonts w:hint="default" w:ascii="Times New Roman" w:hAnsi="Times New Roman" w:cs="Times New Roman"/>
                <w:color w:val="auto"/>
                <w:szCs w:val="21"/>
              </w:rPr>
              <w:t>有组织废气排放对周围环境影响较小。</w:t>
            </w:r>
          </w:p>
          <w:p>
            <w:pPr>
              <w:pStyle w:val="49"/>
              <w:spacing w:line="440" w:lineRule="exact"/>
              <w:ind w:firstLine="480"/>
              <w:rPr>
                <w:rFonts w:ascii="Times New Roman" w:hAnsi="Times New Roman" w:cs="Times New Roman"/>
                <w:color w:val="auto"/>
                <w:szCs w:val="21"/>
              </w:rPr>
            </w:pPr>
            <w:r>
              <w:rPr>
                <w:rFonts w:hint="default" w:ascii="Times New Roman" w:hAnsi="Times New Roman" w:cs="Times New Roman"/>
                <w:color w:val="auto"/>
                <w:szCs w:val="21"/>
              </w:rPr>
              <w:t>另外由于项目各污染因子排放量较小，只要加强废气处理设施的维护，确保</w:t>
            </w:r>
            <w:r>
              <w:rPr>
                <w:rFonts w:ascii="Times New Roman" w:hAnsi="Times New Roman" w:cs="Times New Roman"/>
                <w:color w:val="auto"/>
                <w:szCs w:val="21"/>
              </w:rPr>
              <w:t>其正常运行，项目排放废气经大气扩散后对敏感点和周围环境影响较小。</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cs="Times New Roman"/>
                <w:color w:val="auto"/>
                <w:lang w:val="en-US" w:eastAsia="zh-CN"/>
              </w:rPr>
            </w:pPr>
            <w:r>
              <w:rPr>
                <w:rFonts w:hint="eastAsia" w:cs="Times New Roman"/>
                <w:color w:val="auto"/>
                <w:lang w:val="en-US" w:eastAsia="zh-CN"/>
              </w:rPr>
              <w:t>1.5卫生防护距离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根据《大气有害物质无组织排放卫生防护距离推导技术导则》（GB/T 39499-2020）中卫生防护距离初值计算公式计算本项目需要设置的卫生防护距离。</w:t>
            </w:r>
          </w:p>
          <w:p>
            <w:pPr>
              <w:keepNext w:val="0"/>
              <w:keepLines w:val="0"/>
              <w:pageBreakBefore w:val="0"/>
              <w:widowControl w:val="0"/>
              <w:numPr>
                <w:ilvl w:val="0"/>
                <w:numId w:val="11"/>
              </w:numPr>
              <w:kinsoku/>
              <w:wordWrap/>
              <w:overflowPunct/>
              <w:topLinePunct w:val="0"/>
              <w:autoSpaceDE/>
              <w:autoSpaceDN/>
              <w:bidi w:val="0"/>
              <w:adjustRightInd/>
              <w:snapToGrid/>
              <w:spacing w:line="440" w:lineRule="exact"/>
              <w:ind w:left="240" w:leftChars="0" w:firstLine="480" w:firstLineChars="0"/>
              <w:jc w:val="both"/>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计算公式如下：</w:t>
            </w:r>
          </w:p>
          <w:p>
            <w:pPr>
              <w:keepNext w:val="0"/>
              <w:keepLines w:val="0"/>
              <w:pageBreakBefore w:val="0"/>
              <w:widowControl w:val="0"/>
              <w:kinsoku/>
              <w:wordWrap/>
              <w:overflowPunct/>
              <w:topLinePunct w:val="0"/>
              <w:autoSpaceDE/>
              <w:autoSpaceDN/>
              <w:bidi w:val="0"/>
              <w:adjustRightInd/>
              <w:snapToGrid/>
              <w:spacing w:line="440" w:lineRule="exact"/>
              <w:ind w:firstLine="0"/>
              <w:jc w:val="center"/>
              <w:textAlignment w:val="auto"/>
              <w:rPr>
                <w:rFonts w:hint="default" w:ascii="Times New Roman" w:hAnsi="Times New Roman" w:cs="Times New Roman"/>
                <w:color w:val="auto"/>
              </w:rPr>
            </w:pPr>
            <m:oMathPara>
              <m:oMath>
                <m:f>
                  <m:fPr>
                    <m:ctrlPr>
                      <w:rPr>
                        <w:rFonts w:hint="default" w:ascii="Cambria Math" w:hAnsi="Cambria Math" w:cs="Times New Roman"/>
                        <w:color w:val="auto"/>
                      </w:rPr>
                    </m:ctrlPr>
                  </m:fPr>
                  <m:num>
                    <m:sSub>
                      <m:sSubPr>
                        <m:ctrlPr>
                          <w:rPr>
                            <w:rFonts w:hint="default" w:ascii="Cambria Math" w:hAnsi="Cambria Math" w:cs="Times New Roman"/>
                            <w:i/>
                            <w:color w:val="auto"/>
                          </w:rPr>
                        </m:ctrlPr>
                      </m:sSubPr>
                      <m:e>
                        <m:r>
                          <m:rPr/>
                          <w:rPr>
                            <w:rFonts w:hint="default" w:ascii="Cambria Math" w:hAnsi="Cambria Math" w:cs="Times New Roman"/>
                            <w:color w:val="auto"/>
                          </w:rPr>
                          <m:t>Q</m:t>
                        </m:r>
                        <m:ctrlPr>
                          <w:rPr>
                            <w:rFonts w:hint="default" w:ascii="Cambria Math" w:hAnsi="Cambria Math" w:cs="Times New Roman"/>
                            <w:i/>
                            <w:color w:val="auto"/>
                          </w:rPr>
                        </m:ctrlPr>
                      </m:e>
                      <m:sub>
                        <m:r>
                          <m:rPr/>
                          <w:rPr>
                            <w:rFonts w:hint="default" w:ascii="Cambria Math" w:hAnsi="Cambria Math" w:cs="Times New Roman"/>
                            <w:color w:val="auto"/>
                          </w:rPr>
                          <m:t>C</m:t>
                        </m:r>
                        <m:ctrlPr>
                          <w:rPr>
                            <w:rFonts w:hint="default" w:ascii="Cambria Math" w:hAnsi="Cambria Math" w:cs="Times New Roman"/>
                            <w:i/>
                            <w:color w:val="auto"/>
                          </w:rPr>
                        </m:ctrlPr>
                      </m:sub>
                    </m:sSub>
                    <m:ctrlPr>
                      <w:rPr>
                        <w:rFonts w:hint="default" w:ascii="Cambria Math" w:hAnsi="Cambria Math" w:cs="Times New Roman"/>
                        <w:color w:val="auto"/>
                      </w:rPr>
                    </m:ctrlPr>
                  </m:num>
                  <m:den>
                    <m:sSub>
                      <m:sSubPr>
                        <m:ctrlPr>
                          <w:rPr>
                            <w:rFonts w:hint="default" w:ascii="Cambria Math" w:hAnsi="Cambria Math" w:cs="Times New Roman"/>
                            <w:i/>
                            <w:color w:val="auto"/>
                          </w:rPr>
                        </m:ctrlPr>
                      </m:sSubPr>
                      <m:e>
                        <m:r>
                          <m:rPr/>
                          <w:rPr>
                            <w:rFonts w:hint="default" w:ascii="Cambria Math" w:hAnsi="Cambria Math" w:cs="Times New Roman"/>
                            <w:color w:val="auto"/>
                          </w:rPr>
                          <m:t>C</m:t>
                        </m:r>
                        <m:ctrlPr>
                          <w:rPr>
                            <w:rFonts w:hint="default" w:ascii="Cambria Math" w:hAnsi="Cambria Math" w:cs="Times New Roman"/>
                            <w:i/>
                            <w:color w:val="auto"/>
                          </w:rPr>
                        </m:ctrlPr>
                      </m:e>
                      <m:sub>
                        <m:r>
                          <m:rPr/>
                          <w:rPr>
                            <w:rFonts w:hint="default" w:ascii="Cambria Math" w:hAnsi="Cambria Math" w:cs="Times New Roman"/>
                            <w:color w:val="auto"/>
                          </w:rPr>
                          <m:t>m</m:t>
                        </m:r>
                        <m:ctrlPr>
                          <w:rPr>
                            <w:rFonts w:hint="default" w:ascii="Cambria Math" w:hAnsi="Cambria Math" w:cs="Times New Roman"/>
                            <w:i/>
                            <w:color w:val="auto"/>
                          </w:rPr>
                        </m:ctrlPr>
                      </m:sub>
                    </m:sSub>
                    <m:ctrlPr>
                      <w:rPr>
                        <w:rFonts w:hint="default" w:ascii="Cambria Math" w:hAnsi="Cambria Math" w:cs="Times New Roman"/>
                        <w:color w:val="auto"/>
                      </w:rPr>
                    </m:ctrlPr>
                  </m:den>
                </m:f>
                <m:r>
                  <m:rPr/>
                  <w:rPr>
                    <w:rFonts w:hint="default" w:ascii="Cambria Math" w:hAnsi="Cambria Math" w:cs="Times New Roman"/>
                    <w:color w:val="auto"/>
                  </w:rPr>
                  <m:t>=</m:t>
                </m:r>
                <m:f>
                  <m:fPr>
                    <m:ctrlPr>
                      <w:rPr>
                        <w:rFonts w:hint="default" w:ascii="Cambria Math" w:hAnsi="Cambria Math" w:cs="Times New Roman"/>
                        <w:i/>
                        <w:color w:val="auto"/>
                      </w:rPr>
                    </m:ctrlPr>
                  </m:fPr>
                  <m:num>
                    <m:r>
                      <m:rPr/>
                      <w:rPr>
                        <w:rFonts w:hint="default" w:ascii="Cambria Math" w:hAnsi="Cambria Math" w:cs="Times New Roman"/>
                        <w:color w:val="auto"/>
                      </w:rPr>
                      <m:t>1</m:t>
                    </m:r>
                    <m:ctrlPr>
                      <w:rPr>
                        <w:rFonts w:hint="default" w:ascii="Cambria Math" w:hAnsi="Cambria Math" w:cs="Times New Roman"/>
                        <w:i/>
                        <w:color w:val="auto"/>
                      </w:rPr>
                    </m:ctrlPr>
                  </m:num>
                  <m:den>
                    <m:r>
                      <m:rPr/>
                      <w:rPr>
                        <w:rFonts w:hint="default" w:ascii="Cambria Math" w:hAnsi="Cambria Math" w:cs="Times New Roman"/>
                        <w:color w:val="auto"/>
                      </w:rPr>
                      <m:t>A</m:t>
                    </m:r>
                    <m:ctrlPr>
                      <w:rPr>
                        <w:rFonts w:hint="default" w:ascii="Cambria Math" w:hAnsi="Cambria Math" w:cs="Times New Roman"/>
                        <w:i/>
                        <w:color w:val="auto"/>
                      </w:rPr>
                    </m:ctrlPr>
                  </m:den>
                </m:f>
                <m:sSup>
                  <m:sSupPr>
                    <m:ctrlPr>
                      <w:rPr>
                        <w:rFonts w:hint="default" w:ascii="Cambria Math" w:hAnsi="Cambria Math" w:cs="Times New Roman"/>
                        <w:i/>
                        <w:color w:val="auto"/>
                      </w:rPr>
                    </m:ctrlPr>
                  </m:sSupPr>
                  <m:e>
                    <m:r>
                      <m:rPr/>
                      <w:rPr>
                        <w:rFonts w:hint="default" w:ascii="Cambria Math" w:hAnsi="Cambria Math" w:cs="Times New Roman"/>
                        <w:color w:val="auto"/>
                      </w:rPr>
                      <m:t>(B</m:t>
                    </m:r>
                    <m:sSup>
                      <m:sSupPr>
                        <m:ctrlPr>
                          <w:rPr>
                            <w:rFonts w:hint="default" w:ascii="Cambria Math" w:hAnsi="Cambria Math" w:cs="Times New Roman"/>
                            <w:i/>
                            <w:color w:val="auto"/>
                          </w:rPr>
                        </m:ctrlPr>
                      </m:sSupPr>
                      <m:e>
                        <m:r>
                          <m:rPr/>
                          <w:rPr>
                            <w:rFonts w:hint="default" w:ascii="Cambria Math" w:hAnsi="Cambria Math" w:cs="Times New Roman"/>
                            <w:color w:val="auto"/>
                          </w:rPr>
                          <m:t>L</m:t>
                        </m:r>
                        <m:ctrlPr>
                          <w:rPr>
                            <w:rFonts w:hint="default" w:ascii="Cambria Math" w:hAnsi="Cambria Math" w:cs="Times New Roman"/>
                            <w:i/>
                            <w:color w:val="auto"/>
                          </w:rPr>
                        </m:ctrlPr>
                      </m:e>
                      <m:sup>
                        <m:r>
                          <m:rPr/>
                          <w:rPr>
                            <w:rFonts w:hint="default" w:ascii="Cambria Math" w:hAnsi="Cambria Math" w:cs="Times New Roman"/>
                            <w:color w:val="auto"/>
                          </w:rPr>
                          <m:t>C</m:t>
                        </m:r>
                        <m:ctrlPr>
                          <w:rPr>
                            <w:rFonts w:hint="default" w:ascii="Cambria Math" w:hAnsi="Cambria Math" w:cs="Times New Roman"/>
                            <w:i/>
                            <w:color w:val="auto"/>
                          </w:rPr>
                        </m:ctrlPr>
                      </m:sup>
                    </m:sSup>
                    <m:r>
                      <m:rPr/>
                      <w:rPr>
                        <w:rFonts w:hint="default" w:ascii="Cambria Math" w:hAnsi="Cambria Math" w:cs="Times New Roman"/>
                        <w:color w:val="auto"/>
                      </w:rPr>
                      <m:t>+0.25</m:t>
                    </m:r>
                    <m:sSup>
                      <m:sSupPr>
                        <m:ctrlPr>
                          <w:rPr>
                            <w:rFonts w:hint="default" w:ascii="Cambria Math" w:hAnsi="Cambria Math" w:cs="Times New Roman"/>
                            <w:i/>
                            <w:color w:val="auto"/>
                          </w:rPr>
                        </m:ctrlPr>
                      </m:sSupPr>
                      <m:e>
                        <m:r>
                          <m:rPr/>
                          <w:rPr>
                            <w:rFonts w:hint="default" w:ascii="Cambria Math" w:hAnsi="Cambria Math" w:cs="Times New Roman"/>
                            <w:color w:val="auto"/>
                          </w:rPr>
                          <m:t>r</m:t>
                        </m:r>
                        <m:ctrlPr>
                          <w:rPr>
                            <w:rFonts w:hint="default" w:ascii="Cambria Math" w:hAnsi="Cambria Math" w:cs="Times New Roman"/>
                            <w:i/>
                            <w:color w:val="auto"/>
                          </w:rPr>
                        </m:ctrlPr>
                      </m:e>
                      <m:sup>
                        <m:r>
                          <m:rPr/>
                          <w:rPr>
                            <w:rFonts w:hint="default" w:ascii="Cambria Math" w:hAnsi="Cambria Math" w:cs="Times New Roman"/>
                            <w:color w:val="auto"/>
                          </w:rPr>
                          <m:t>2</m:t>
                        </m:r>
                        <m:ctrlPr>
                          <w:rPr>
                            <w:rFonts w:hint="default" w:ascii="Cambria Math" w:hAnsi="Cambria Math" w:cs="Times New Roman"/>
                            <w:i/>
                            <w:color w:val="auto"/>
                          </w:rPr>
                        </m:ctrlPr>
                      </m:sup>
                    </m:sSup>
                    <m:r>
                      <m:rPr/>
                      <w:rPr>
                        <w:rFonts w:hint="default" w:ascii="Cambria Math" w:hAnsi="Cambria Math" w:cs="Times New Roman"/>
                        <w:color w:val="auto"/>
                      </w:rPr>
                      <m:t>)</m:t>
                    </m:r>
                    <m:ctrlPr>
                      <w:rPr>
                        <w:rFonts w:hint="default" w:ascii="Cambria Math" w:hAnsi="Cambria Math" w:cs="Times New Roman"/>
                        <w:i/>
                        <w:color w:val="auto"/>
                      </w:rPr>
                    </m:ctrlPr>
                  </m:e>
                  <m:sup>
                    <m:r>
                      <m:rPr/>
                      <w:rPr>
                        <w:rFonts w:hint="default" w:ascii="Cambria Math" w:hAnsi="Cambria Math" w:cs="Times New Roman"/>
                        <w:color w:val="auto"/>
                      </w:rPr>
                      <m:t>0.50</m:t>
                    </m:r>
                    <m:ctrlPr>
                      <w:rPr>
                        <w:rFonts w:hint="default" w:ascii="Cambria Math" w:hAnsi="Cambria Math" w:cs="Times New Roman"/>
                        <w:i/>
                        <w:color w:val="auto"/>
                      </w:rPr>
                    </m:ctrlPr>
                  </m:sup>
                </m:sSup>
                <m:sSup>
                  <m:sSupPr>
                    <m:ctrlPr>
                      <w:rPr>
                        <w:rFonts w:hint="default" w:ascii="Cambria Math" w:hAnsi="Cambria Math" w:cs="Times New Roman"/>
                        <w:i/>
                        <w:color w:val="auto"/>
                      </w:rPr>
                    </m:ctrlPr>
                  </m:sSupPr>
                  <m:e>
                    <m:r>
                      <m:rPr/>
                      <w:rPr>
                        <w:rFonts w:hint="default" w:ascii="Cambria Math" w:hAnsi="Cambria Math" w:cs="Times New Roman"/>
                        <w:color w:val="auto"/>
                      </w:rPr>
                      <m:t>L</m:t>
                    </m:r>
                    <m:ctrlPr>
                      <w:rPr>
                        <w:rFonts w:hint="default" w:ascii="Cambria Math" w:hAnsi="Cambria Math" w:cs="Times New Roman"/>
                        <w:i/>
                        <w:color w:val="auto"/>
                      </w:rPr>
                    </m:ctrlPr>
                  </m:e>
                  <m:sup>
                    <m:r>
                      <m:rPr/>
                      <w:rPr>
                        <w:rFonts w:hint="default" w:ascii="Cambria Math" w:hAnsi="Cambria Math" w:cs="Times New Roman"/>
                        <w:color w:val="auto"/>
                      </w:rPr>
                      <m:t>D</m:t>
                    </m:r>
                    <m:ctrlPr>
                      <w:rPr>
                        <w:rFonts w:hint="default" w:ascii="Cambria Math" w:hAnsi="Cambria Math" w:cs="Times New Roman"/>
                        <w:i/>
                        <w:color w:val="auto"/>
                      </w:rPr>
                    </m:ctrlPr>
                  </m:sup>
                </m:sSup>
              </m:oMath>
            </m:oMathPara>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firstLine="480" w:firstLineChars="200"/>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式中：</w:t>
            </w:r>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firstLine="480" w:firstLineChars="200"/>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rPr>
              <w:t>Qc——</w:t>
            </w:r>
            <w:r>
              <w:rPr>
                <w:rFonts w:hint="default" w:ascii="Times New Roman" w:hAnsi="Times New Roman" w:cs="Times New Roman"/>
                <w:b w:val="0"/>
                <w:bCs w:val="0"/>
                <w:color w:val="auto"/>
                <w:sz w:val="24"/>
                <w:szCs w:val="24"/>
                <w:lang w:eastAsia="zh-CN"/>
              </w:rPr>
              <w:t>大气有害物质的无组织排放量，单位为千克每小时（</w:t>
            </w:r>
            <w:r>
              <w:rPr>
                <w:rFonts w:hint="default" w:ascii="Times New Roman" w:hAnsi="Times New Roman" w:cs="Times New Roman"/>
                <w:b w:val="0"/>
                <w:bCs w:val="0"/>
                <w:color w:val="auto"/>
                <w:sz w:val="24"/>
                <w:szCs w:val="24"/>
              </w:rPr>
              <w:t>kg/h</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rPr>
              <w:t>。</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b w:val="0"/>
                <w:bCs w:val="0"/>
                <w:color w:val="auto"/>
                <w:sz w:val="24"/>
                <w:szCs w:val="24"/>
              </w:rPr>
            </w:pPr>
            <m:oMath>
              <m:sSub>
                <m:sSubPr>
                  <m:ctrlPr>
                    <w:rPr>
                      <w:rFonts w:hint="default" w:ascii="Cambria Math" w:hAnsi="Cambria Math" w:cs="Times New Roman"/>
                      <w:b w:val="0"/>
                      <w:color w:val="auto"/>
                      <w:sz w:val="24"/>
                      <w:szCs w:val="24"/>
                    </w:rPr>
                  </m:ctrlPr>
                </m:sSubPr>
                <m:e>
                  <m:r>
                    <m:rPr/>
                    <w:rPr>
                      <w:rFonts w:hint="default" w:ascii="Cambria Math" w:hAnsi="Cambria Math" w:cs="Times New Roman"/>
                      <w:color w:val="auto"/>
                      <w:sz w:val="24"/>
                      <w:szCs w:val="24"/>
                    </w:rPr>
                    <m:t>C</m:t>
                  </m:r>
                  <m:ctrlPr>
                    <w:rPr>
                      <w:rFonts w:hint="default" w:ascii="Cambria Math" w:hAnsi="Cambria Math" w:cs="Times New Roman"/>
                      <w:b w:val="0"/>
                      <w:color w:val="auto"/>
                      <w:sz w:val="24"/>
                      <w:szCs w:val="24"/>
                    </w:rPr>
                  </m:ctrlPr>
                </m:e>
                <m:sub>
                  <m:r>
                    <m:rPr>
                      <m:sty m:val="p"/>
                    </m:rPr>
                    <w:rPr>
                      <w:rFonts w:hint="default" w:ascii="Cambria Math" w:hAnsi="Cambria Math" w:cs="Times New Roman"/>
                      <w:color w:val="auto"/>
                      <w:sz w:val="24"/>
                      <w:szCs w:val="24"/>
                    </w:rPr>
                    <m:t>m</m:t>
                  </m:r>
                  <m:ctrlPr>
                    <w:rPr>
                      <w:rFonts w:hint="default" w:ascii="Cambria Math" w:hAnsi="Cambria Math" w:cs="Times New Roman"/>
                      <w:b w:val="0"/>
                      <w:color w:val="auto"/>
                      <w:sz w:val="24"/>
                      <w:szCs w:val="24"/>
                    </w:rPr>
                  </m:ctrlPr>
                </m:sub>
              </m:sSub>
            </m:oMath>
            <w:r>
              <w:rPr>
                <w:rFonts w:hint="default" w:ascii="Times New Roman" w:hAnsi="Times New Roman" w:cs="Times New Roman"/>
                <w:b w:val="0"/>
                <w:bCs w:val="0"/>
                <w:color w:val="auto"/>
                <w:sz w:val="24"/>
                <w:szCs w:val="24"/>
              </w:rPr>
              <w:t>——</w:t>
            </w:r>
            <w:r>
              <w:rPr>
                <w:rFonts w:hint="default" w:ascii="Times New Roman" w:hAnsi="Times New Roman" w:cs="Times New Roman"/>
                <w:b w:val="0"/>
                <w:bCs w:val="0"/>
                <w:color w:val="auto"/>
                <w:sz w:val="24"/>
                <w:szCs w:val="24"/>
                <w:lang w:eastAsia="zh-CN"/>
              </w:rPr>
              <w:t>大气有害物质环境空气质量的标准限值</w:t>
            </w:r>
            <w:r>
              <w:rPr>
                <w:rFonts w:hint="default" w:ascii="Times New Roman" w:hAnsi="Times New Roman" w:cs="Times New Roman"/>
                <w:b w:val="0"/>
                <w:bCs w:val="0"/>
                <w:color w:val="auto"/>
                <w:sz w:val="24"/>
                <w:szCs w:val="24"/>
              </w:rPr>
              <w:t>，</w:t>
            </w:r>
            <w:r>
              <w:rPr>
                <w:rFonts w:hint="default" w:ascii="Times New Roman" w:hAnsi="Times New Roman" w:cs="Times New Roman"/>
                <w:b w:val="0"/>
                <w:bCs w:val="0"/>
                <w:color w:val="auto"/>
                <w:sz w:val="24"/>
                <w:szCs w:val="24"/>
                <w:lang w:eastAsia="zh-CN"/>
              </w:rPr>
              <w:t>单位为毫克每立方米（</w:t>
            </w:r>
            <w:r>
              <w:rPr>
                <w:rFonts w:hint="default" w:ascii="Times New Roman" w:hAnsi="Times New Roman" w:cs="Times New Roman"/>
                <w:b w:val="0"/>
                <w:bCs w:val="0"/>
                <w:color w:val="auto"/>
                <w:sz w:val="24"/>
                <w:szCs w:val="24"/>
              </w:rPr>
              <w:t>mg/m</w:t>
            </w:r>
            <w:r>
              <w:rPr>
                <w:rFonts w:hint="default" w:ascii="Times New Roman" w:hAnsi="Times New Roman" w:cs="Times New Roman"/>
                <w:b w:val="0"/>
                <w:bCs w:val="0"/>
                <w:color w:val="auto"/>
                <w:sz w:val="24"/>
                <w:szCs w:val="24"/>
                <w:vertAlign w:val="superscript"/>
              </w:rPr>
              <w:t>3</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rPr>
              <w:t>；</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L——工</w:t>
            </w:r>
            <w:r>
              <w:rPr>
                <w:rFonts w:hint="default" w:ascii="Times New Roman" w:hAnsi="Times New Roman" w:cs="Times New Roman"/>
                <w:b w:val="0"/>
                <w:bCs w:val="0"/>
                <w:color w:val="auto"/>
                <w:sz w:val="24"/>
                <w:szCs w:val="24"/>
                <w:lang w:eastAsia="zh-CN"/>
              </w:rPr>
              <w:t>大气有害物质卫生防护距离初值</w:t>
            </w:r>
            <w:r>
              <w:rPr>
                <w:rFonts w:hint="default" w:ascii="Times New Roman" w:hAnsi="Times New Roman" w:cs="Times New Roman"/>
                <w:b w:val="0"/>
                <w:bCs w:val="0"/>
                <w:color w:val="auto"/>
                <w:sz w:val="24"/>
                <w:szCs w:val="24"/>
              </w:rPr>
              <w:t>，</w:t>
            </w:r>
            <w:r>
              <w:rPr>
                <w:rFonts w:hint="default" w:ascii="Times New Roman" w:hAnsi="Times New Roman" w:cs="Times New Roman"/>
                <w:b w:val="0"/>
                <w:bCs w:val="0"/>
                <w:color w:val="auto"/>
                <w:sz w:val="24"/>
                <w:szCs w:val="24"/>
                <w:lang w:eastAsia="zh-CN"/>
              </w:rPr>
              <w:t>单位为米（</w:t>
            </w:r>
            <w:r>
              <w:rPr>
                <w:rFonts w:hint="default" w:ascii="Times New Roman" w:hAnsi="Times New Roman" w:cs="Times New Roman"/>
                <w:b w:val="0"/>
                <w:bCs w:val="0"/>
                <w:color w:val="auto"/>
                <w:sz w:val="24"/>
                <w:szCs w:val="24"/>
              </w:rPr>
              <w:t>m</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rPr>
              <w:t>；</w:t>
            </w:r>
          </w:p>
          <w:p>
            <w:pPr>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r——</w:t>
            </w:r>
            <w:r>
              <w:rPr>
                <w:rFonts w:hint="default" w:ascii="Times New Roman" w:hAnsi="Times New Roman" w:cs="Times New Roman"/>
                <w:b w:val="0"/>
                <w:bCs w:val="0"/>
                <w:color w:val="auto"/>
                <w:sz w:val="24"/>
                <w:szCs w:val="24"/>
                <w:lang w:eastAsia="zh-CN"/>
              </w:rPr>
              <w:t>大气有害物质无组织排放源所在生产单元的等效半径</w:t>
            </w:r>
            <w:r>
              <w:rPr>
                <w:rFonts w:hint="default" w:ascii="Times New Roman" w:hAnsi="Times New Roman" w:cs="Times New Roman"/>
                <w:b w:val="0"/>
                <w:bCs w:val="0"/>
                <w:color w:val="auto"/>
                <w:sz w:val="24"/>
                <w:szCs w:val="24"/>
              </w:rPr>
              <w:t>，</w:t>
            </w:r>
            <w:r>
              <w:rPr>
                <w:rFonts w:hint="default" w:ascii="Times New Roman" w:hAnsi="Times New Roman" w:cs="Times New Roman"/>
                <w:b w:val="0"/>
                <w:bCs w:val="0"/>
                <w:color w:val="auto"/>
                <w:sz w:val="24"/>
                <w:szCs w:val="24"/>
                <w:lang w:eastAsia="zh-CN"/>
              </w:rPr>
              <w:t>单位为米（</w:t>
            </w:r>
            <w:r>
              <w:rPr>
                <w:rFonts w:hint="default" w:ascii="Times New Roman" w:hAnsi="Times New Roman" w:cs="Times New Roman"/>
                <w:b w:val="0"/>
                <w:bCs w:val="0"/>
                <w:color w:val="auto"/>
                <w:sz w:val="24"/>
                <w:szCs w:val="24"/>
              </w:rPr>
              <w:t>m</w:t>
            </w:r>
            <w:r>
              <w:rPr>
                <w:rFonts w:hint="default" w:ascii="Times New Roman" w:hAnsi="Times New Roman" w:cs="Times New Roman"/>
                <w:b w:val="0"/>
                <w:bCs w:val="0"/>
                <w:color w:val="auto"/>
                <w:sz w:val="24"/>
                <w:szCs w:val="24"/>
                <w:lang w:eastAsia="zh-CN"/>
              </w:rPr>
              <w:t>）</w:t>
            </w:r>
            <w:r>
              <w:rPr>
                <w:rFonts w:hint="default" w:ascii="Times New Roman" w:hAnsi="Times New Roman" w:cs="Times New Roman"/>
                <w:b w:val="0"/>
                <w:bCs w:val="0"/>
                <w:color w:val="auto"/>
                <w:sz w:val="24"/>
                <w:szCs w:val="24"/>
              </w:rPr>
              <w:t>。</w:t>
            </w:r>
          </w:p>
          <w:p>
            <w:pPr>
              <w:pageBreakBefore w:val="0"/>
              <w:widowControl w:val="0"/>
              <w:numPr>
                <w:ilvl w:val="0"/>
                <w:numId w:val="12"/>
              </w:numPr>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B、C、D——</w:t>
            </w:r>
            <w:r>
              <w:rPr>
                <w:rFonts w:hint="default" w:ascii="Times New Roman" w:hAnsi="Times New Roman" w:cs="Times New Roman"/>
                <w:b w:val="0"/>
                <w:bCs w:val="0"/>
                <w:color w:val="auto"/>
                <w:sz w:val="24"/>
                <w:szCs w:val="24"/>
                <w:lang w:eastAsia="zh-CN"/>
              </w:rPr>
              <w:t>卫生防护距离初值计算系数，无因次，根据工业企业所在地区近</w:t>
            </w:r>
            <w:r>
              <w:rPr>
                <w:rFonts w:hint="default" w:ascii="Times New Roman" w:hAnsi="Times New Roman" w:cs="Times New Roman"/>
                <w:b w:val="0"/>
                <w:bCs w:val="0"/>
                <w:color w:val="auto"/>
                <w:sz w:val="24"/>
                <w:szCs w:val="24"/>
                <w:lang w:val="en-US" w:eastAsia="zh-CN"/>
              </w:rPr>
              <w:t>5年平均风速计大气污染源构成类别从表1查取</w:t>
            </w:r>
            <w:r>
              <w:rPr>
                <w:rFonts w:hint="default" w:ascii="Times New Roman" w:hAnsi="Times New Roman" w:cs="Times New Roman"/>
                <w:b w:val="0"/>
                <w:bCs w:val="0"/>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color w:val="auto"/>
                <w:sz w:val="24"/>
                <w:szCs w:val="24"/>
                <w:lang w:val="en-US" w:eastAsia="zh-CN"/>
              </w:rPr>
            </w:pPr>
            <w:r>
              <w:rPr>
                <w:rFonts w:hint="eastAsia"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计算结果</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本项目卫生防护距离计算结果见表</w:t>
            </w:r>
            <w:r>
              <w:rPr>
                <w:rFonts w:hint="eastAsia" w:ascii="Times New Roman" w:hAnsi="Times New Roman" w:eastAsia="宋体" w:cs="Times New Roman"/>
                <w:color w:val="auto"/>
                <w:sz w:val="24"/>
                <w:szCs w:val="24"/>
                <w:lang w:val="en-US" w:eastAsia="zh-CN"/>
              </w:rPr>
              <w:t>4-4</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rPr>
            </w:pPr>
            <w:r>
              <w:rPr>
                <w:rFonts w:hint="default" w:ascii="Times New Roman" w:hAnsi="Times New Roman" w:eastAsia="宋体" w:cs="Times New Roman"/>
                <w:b/>
                <w:bCs/>
                <w:color w:val="auto"/>
                <w:sz w:val="21"/>
              </w:rPr>
              <w:t>表</w:t>
            </w:r>
            <w:r>
              <w:rPr>
                <w:rFonts w:hint="default" w:ascii="Times New Roman" w:hAnsi="Times New Roman" w:eastAsia="宋体" w:cs="Times New Roman"/>
                <w:b/>
                <w:bCs/>
                <w:color w:val="auto"/>
                <w:sz w:val="21"/>
                <w:lang w:val="en-US" w:eastAsia="zh-CN"/>
              </w:rPr>
              <w:t>4-</w:t>
            </w:r>
            <w:r>
              <w:rPr>
                <w:rFonts w:hint="eastAsia" w:cs="Times New Roman"/>
                <w:b/>
                <w:bCs/>
                <w:color w:val="auto"/>
                <w:sz w:val="21"/>
                <w:lang w:val="en-US" w:eastAsia="zh-CN"/>
              </w:rPr>
              <w:t>4</w:t>
            </w:r>
            <w:r>
              <w:rPr>
                <w:rFonts w:hint="default" w:ascii="Times New Roman" w:hAnsi="Times New Roman" w:eastAsia="宋体" w:cs="Times New Roman"/>
                <w:b/>
                <w:bCs/>
                <w:color w:val="auto"/>
                <w:sz w:val="21"/>
                <w:lang w:val="en-US" w:eastAsia="zh-CN"/>
              </w:rPr>
              <w:t xml:space="preserve"> </w:t>
            </w:r>
            <w:r>
              <w:rPr>
                <w:rFonts w:hint="default" w:ascii="Times New Roman" w:hAnsi="Times New Roman" w:eastAsia="宋体" w:cs="Times New Roman"/>
                <w:b/>
                <w:bCs/>
                <w:color w:val="auto"/>
                <w:sz w:val="21"/>
              </w:rPr>
              <w:t>项目卫生防护距离计算结果</w:t>
            </w:r>
          </w:p>
          <w:tbl>
            <w:tblPr>
              <w:tblStyle w:val="20"/>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1345"/>
              <w:gridCol w:w="967"/>
              <w:gridCol w:w="866"/>
              <w:gridCol w:w="1134"/>
              <w:gridCol w:w="130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 w:hRule="atLeast"/>
              </w:trPr>
              <w:tc>
                <w:tcPr>
                  <w:tcW w:w="624"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污染源</w:t>
                  </w:r>
                </w:p>
              </w:tc>
              <w:tc>
                <w:tcPr>
                  <w:tcW w:w="785"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污染物</w:t>
                  </w:r>
                </w:p>
              </w:tc>
              <w:tc>
                <w:tcPr>
                  <w:tcW w:w="564"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Qc（</w:t>
                  </w:r>
                  <w:r>
                    <w:rPr>
                      <w:rFonts w:hint="default" w:ascii="Times New Roman" w:hAnsi="Times New Roman" w:eastAsia="宋体" w:cs="Times New Roman"/>
                      <w:b/>
                      <w:color w:val="auto"/>
                      <w:sz w:val="21"/>
                      <w:szCs w:val="21"/>
                      <w:lang w:val="en-US" w:eastAsia="zh-CN"/>
                    </w:rPr>
                    <w:t>t/a</w:t>
                  </w:r>
                  <w:r>
                    <w:rPr>
                      <w:rFonts w:hint="default" w:ascii="Times New Roman" w:hAnsi="Times New Roman" w:eastAsia="宋体" w:cs="Times New Roman"/>
                      <w:b/>
                      <w:color w:val="auto"/>
                      <w:sz w:val="21"/>
                      <w:szCs w:val="21"/>
                    </w:rPr>
                    <w:t>）</w:t>
                  </w:r>
                </w:p>
              </w:tc>
              <w:tc>
                <w:tcPr>
                  <w:tcW w:w="505"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S（m</w:t>
                  </w:r>
                  <w:r>
                    <w:rPr>
                      <w:rFonts w:hint="default" w:ascii="Times New Roman" w:hAnsi="Times New Roman" w:eastAsia="宋体" w:cs="Times New Roman"/>
                      <w:b/>
                      <w:color w:val="auto"/>
                      <w:sz w:val="21"/>
                      <w:szCs w:val="21"/>
                      <w:vertAlign w:val="superscript"/>
                    </w:rPr>
                    <w:t>2</w:t>
                  </w:r>
                  <w:r>
                    <w:rPr>
                      <w:rFonts w:hint="default" w:ascii="Times New Roman" w:hAnsi="Times New Roman" w:eastAsia="宋体" w:cs="Times New Roman"/>
                      <w:b/>
                      <w:color w:val="auto"/>
                      <w:sz w:val="21"/>
                      <w:szCs w:val="21"/>
                    </w:rPr>
                    <w:t>）</w:t>
                  </w:r>
                </w:p>
              </w:tc>
              <w:tc>
                <w:tcPr>
                  <w:tcW w:w="661"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L计算值（m）</w:t>
                  </w:r>
                </w:p>
              </w:tc>
              <w:tc>
                <w:tcPr>
                  <w:tcW w:w="758"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L提级值（m）</w:t>
                  </w:r>
                </w:p>
              </w:tc>
              <w:tc>
                <w:tcPr>
                  <w:tcW w:w="1099"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val="en-US" w:eastAsia="zh-CN"/>
                    </w:rPr>
                    <w:t>项目</w:t>
                  </w:r>
                  <w:r>
                    <w:rPr>
                      <w:rFonts w:hint="default" w:ascii="Times New Roman" w:hAnsi="Times New Roman" w:eastAsia="宋体" w:cs="Times New Roman"/>
                      <w:b/>
                      <w:color w:val="auto"/>
                      <w:sz w:val="21"/>
                      <w:szCs w:val="21"/>
                    </w:rPr>
                    <w:t>卫生防护距离（m）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pct"/>
                  <w:vMerge w:val="restar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生产车间</w:t>
                  </w:r>
                </w:p>
              </w:tc>
              <w:tc>
                <w:tcPr>
                  <w:tcW w:w="785" w:type="pct"/>
                  <w:noWrap w:val="0"/>
                  <w:vAlign w:val="center"/>
                </w:tcPr>
                <w:p>
                  <w:pPr>
                    <w:keepNext/>
                    <w:keepLines/>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Cs/>
                      <w:snapToGrid w:val="0"/>
                      <w:color w:val="auto"/>
                      <w:sz w:val="21"/>
                      <w:szCs w:val="21"/>
                      <w:lang w:val="en-US" w:eastAsia="zh-CN"/>
                    </w:rPr>
                  </w:pPr>
                  <w:r>
                    <w:rPr>
                      <w:rFonts w:hint="eastAsia" w:cs="Times New Roman"/>
                      <w:bCs/>
                      <w:snapToGrid w:val="0"/>
                      <w:color w:val="auto"/>
                      <w:sz w:val="21"/>
                      <w:szCs w:val="21"/>
                      <w:lang w:val="en-US" w:eastAsia="zh-CN"/>
                    </w:rPr>
                    <w:t>TSP</w:t>
                  </w:r>
                </w:p>
              </w:tc>
              <w:tc>
                <w:tcPr>
                  <w:tcW w:w="564"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0.72</w:t>
                  </w:r>
                </w:p>
              </w:tc>
              <w:tc>
                <w:tcPr>
                  <w:tcW w:w="505" w:type="pct"/>
                  <w:vMerge w:val="restar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3000</w:t>
                  </w:r>
                </w:p>
              </w:tc>
              <w:tc>
                <w:tcPr>
                  <w:tcW w:w="661"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2.395</w:t>
                  </w:r>
                </w:p>
              </w:tc>
              <w:tc>
                <w:tcPr>
                  <w:tcW w:w="758"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50</w:t>
                  </w:r>
                </w:p>
              </w:tc>
              <w:tc>
                <w:tcPr>
                  <w:tcW w:w="1099" w:type="pct"/>
                  <w:vMerge w:val="restar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624" w:type="pct"/>
                  <w:vMerge w:val="continue"/>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eastAsia" w:cs="Times New Roman"/>
                      <w:color w:val="auto"/>
                      <w:sz w:val="21"/>
                      <w:szCs w:val="21"/>
                      <w:lang w:val="en-US" w:eastAsia="zh-CN"/>
                    </w:rPr>
                  </w:pPr>
                </w:p>
              </w:tc>
              <w:tc>
                <w:tcPr>
                  <w:tcW w:w="785" w:type="pct"/>
                  <w:noWrap w:val="0"/>
                  <w:vAlign w:val="center"/>
                </w:tcPr>
                <w:p>
                  <w:pPr>
                    <w:keepNext/>
                    <w:keepLines/>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cs="Times New Roman"/>
                      <w:bCs/>
                      <w:snapToGrid w:val="0"/>
                      <w:color w:val="auto"/>
                      <w:sz w:val="21"/>
                      <w:szCs w:val="21"/>
                      <w:lang w:val="en-US" w:eastAsia="zh-CN"/>
                    </w:rPr>
                  </w:pPr>
                  <w:r>
                    <w:rPr>
                      <w:rFonts w:hint="eastAsia" w:cs="Times New Roman"/>
                      <w:bCs/>
                      <w:snapToGrid w:val="0"/>
                      <w:color w:val="auto"/>
                      <w:sz w:val="21"/>
                      <w:szCs w:val="21"/>
                      <w:lang w:val="en-US" w:eastAsia="zh-CN"/>
                    </w:rPr>
                    <w:t>非甲烷总烃</w:t>
                  </w:r>
                </w:p>
              </w:tc>
              <w:tc>
                <w:tcPr>
                  <w:tcW w:w="564"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0.431</w:t>
                  </w:r>
                </w:p>
              </w:tc>
              <w:tc>
                <w:tcPr>
                  <w:tcW w:w="505" w:type="pct"/>
                  <w:vMerge w:val="continue"/>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eastAsia" w:cs="Times New Roman"/>
                      <w:color w:val="auto"/>
                      <w:sz w:val="21"/>
                      <w:szCs w:val="21"/>
                      <w:lang w:val="en-US" w:eastAsia="zh-CN"/>
                    </w:rPr>
                  </w:pPr>
                </w:p>
              </w:tc>
              <w:tc>
                <w:tcPr>
                  <w:tcW w:w="661"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0.503</w:t>
                  </w:r>
                </w:p>
              </w:tc>
              <w:tc>
                <w:tcPr>
                  <w:tcW w:w="758" w:type="pct"/>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default" w:cs="Times New Roman"/>
                      <w:color w:val="auto"/>
                      <w:sz w:val="21"/>
                      <w:szCs w:val="21"/>
                      <w:lang w:val="en-US" w:eastAsia="zh-CN"/>
                    </w:rPr>
                  </w:pPr>
                  <w:r>
                    <w:rPr>
                      <w:rFonts w:hint="eastAsia" w:cs="Times New Roman"/>
                      <w:color w:val="auto"/>
                      <w:sz w:val="21"/>
                      <w:szCs w:val="21"/>
                      <w:lang w:val="en-US" w:eastAsia="zh-CN"/>
                    </w:rPr>
                    <w:t>50</w:t>
                  </w:r>
                </w:p>
              </w:tc>
              <w:tc>
                <w:tcPr>
                  <w:tcW w:w="1099" w:type="pct"/>
                  <w:vMerge w:val="continue"/>
                  <w:noWrap w:val="0"/>
                  <w:vAlign w:val="center"/>
                </w:tcPr>
                <w:p>
                  <w:pPr>
                    <w:keepNext/>
                    <w:keepLines/>
                    <w:pageBreakBefore w:val="0"/>
                    <w:widowControl/>
                    <w:kinsoku/>
                    <w:wordWrap/>
                    <w:overflowPunct/>
                    <w:topLinePunct w:val="0"/>
                    <w:autoSpaceDE/>
                    <w:autoSpaceDN/>
                    <w:bidi w:val="0"/>
                    <w:adjustRightInd/>
                    <w:spacing w:line="240" w:lineRule="auto"/>
                    <w:ind w:firstLine="0" w:firstLineChars="0"/>
                    <w:jc w:val="center"/>
                    <w:textAlignment w:val="auto"/>
                    <w:rPr>
                      <w:rFonts w:hint="eastAsia" w:cs="Times New Roman"/>
                      <w:color w:val="auto"/>
                      <w:sz w:val="21"/>
                      <w:szCs w:val="21"/>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根据《大气有害物质无组织排放卫生防护距离推导技术导则》（GB/T 39499-2020）中卫生防护距离终值得确定：①计算的卫生防护距离在初值小于50m时，级差为50m；卫生防护距离初值大于或等于50m，但小于100m时，级差为50m；卫生防护距离初值大于或等于100m，但小于1000m时，级差为100m；卫生防护距离初值大于或等于1000m时，级差为200m。②当企业某生产单元的无组织排放存在多种特征大气有害物质，如果分别推导出的卫生防护距离初值在同一级别时，则该企业的卫生防护距离终值应提高一级；卫生防护距离初值不在同一级别的，以卫生防护距离终值较大者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b w:val="0"/>
                <w:bCs w:val="0"/>
                <w:color w:val="auto"/>
                <w:sz w:val="24"/>
                <w:szCs w:val="24"/>
                <w:lang w:val="en-US" w:eastAsia="zh-CN"/>
              </w:rPr>
              <w:t>根据计算结果可知，本项目</w:t>
            </w:r>
            <w:r>
              <w:rPr>
                <w:rFonts w:hint="eastAsia" w:cs="Times New Roman"/>
                <w:b w:val="0"/>
                <w:bCs w:val="0"/>
                <w:color w:val="auto"/>
                <w:sz w:val="24"/>
                <w:szCs w:val="24"/>
                <w:lang w:val="en-US" w:eastAsia="zh-CN"/>
              </w:rPr>
              <w:t>生产车间</w:t>
            </w:r>
            <w:r>
              <w:rPr>
                <w:rFonts w:hint="default" w:ascii="Times New Roman" w:hAnsi="Times New Roman" w:cs="Times New Roman"/>
                <w:b w:val="0"/>
                <w:bCs w:val="0"/>
                <w:color w:val="auto"/>
                <w:sz w:val="24"/>
                <w:szCs w:val="24"/>
                <w:lang w:val="en-US" w:eastAsia="zh-CN"/>
              </w:rPr>
              <w:t>外应设置</w:t>
            </w:r>
            <w:r>
              <w:rPr>
                <w:rFonts w:hint="eastAsia" w:cs="Times New Roman"/>
                <w:b w:val="0"/>
                <w:bCs w:val="0"/>
                <w:color w:val="auto"/>
                <w:sz w:val="24"/>
                <w:szCs w:val="24"/>
                <w:lang w:val="en-US" w:eastAsia="zh-CN"/>
              </w:rPr>
              <w:t>10</w:t>
            </w:r>
            <w:r>
              <w:rPr>
                <w:rFonts w:hint="default" w:ascii="Times New Roman" w:hAnsi="Times New Roman" w:cs="Times New Roman"/>
                <w:b w:val="0"/>
                <w:bCs w:val="0"/>
                <w:color w:val="auto"/>
                <w:sz w:val="24"/>
                <w:szCs w:val="24"/>
                <w:lang w:val="en-US" w:eastAsia="zh-CN"/>
              </w:rPr>
              <w:t>0m卫生防护距离。据现场调查，本项目</w:t>
            </w:r>
            <w:r>
              <w:rPr>
                <w:rFonts w:hint="eastAsia" w:cs="Times New Roman"/>
                <w:b w:val="0"/>
                <w:bCs w:val="0"/>
                <w:color w:val="auto"/>
                <w:sz w:val="24"/>
                <w:szCs w:val="24"/>
                <w:lang w:val="en-US" w:eastAsia="zh-CN"/>
              </w:rPr>
              <w:t>生产车间外10</w:t>
            </w:r>
            <w:r>
              <w:rPr>
                <w:rFonts w:hint="default" w:ascii="Times New Roman" w:hAnsi="Times New Roman" w:cs="Times New Roman"/>
                <w:b w:val="0"/>
                <w:bCs w:val="0"/>
                <w:color w:val="auto"/>
                <w:sz w:val="24"/>
                <w:szCs w:val="24"/>
                <w:lang w:val="en-US" w:eastAsia="zh-CN"/>
              </w:rPr>
              <w:t>0m范围内</w:t>
            </w:r>
            <w:r>
              <w:rPr>
                <w:rFonts w:hint="eastAsia" w:cs="Times New Roman"/>
                <w:b w:val="0"/>
                <w:bCs w:val="0"/>
                <w:color w:val="auto"/>
                <w:sz w:val="24"/>
                <w:szCs w:val="24"/>
                <w:lang w:val="en-US" w:eastAsia="zh-CN"/>
              </w:rPr>
              <w:t>均</w:t>
            </w:r>
            <w:r>
              <w:rPr>
                <w:rFonts w:hint="default" w:ascii="Times New Roman" w:hAnsi="Times New Roman" w:cs="Times New Roman"/>
                <w:b w:val="0"/>
                <w:bCs w:val="0"/>
                <w:color w:val="auto"/>
                <w:sz w:val="24"/>
                <w:szCs w:val="24"/>
                <w:lang w:val="en-US" w:eastAsia="zh-CN"/>
              </w:rPr>
              <w:t>无学校、医院、居民区以及食品、医药生产企业等敏感目标，符合卫生防护距离要求。</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对于项目产生的无组织排放废气，建设单位需加强管控，通过加设排风扇、增加设备密闭性、定期检查设备等措施，控制无组织废气的产生，在采取相应措施后，本项目无组织排放的废气不会对周围区域的大气环境产生不良影响，不会改变周围环境大气现状。当地政府在卫生防护距离范围内不得规划新建集中居住区、学校、医院等敏感对象。</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综上所述，建设项目废气可达标排放，对周围大气环境影响较小。</w:t>
            </w:r>
          </w:p>
          <w:p>
            <w:pPr>
              <w:keepNext w:val="0"/>
              <w:keepLines w:val="0"/>
              <w:pageBreakBefore w:val="0"/>
              <w:widowControl w:val="0"/>
              <w:kinsoku/>
              <w:wordWrap/>
              <w:overflowPunct/>
              <w:topLinePunct w:val="0"/>
              <w:autoSpaceDE/>
              <w:autoSpaceDN/>
              <w:bidi w:val="0"/>
              <w:adjustRightInd/>
              <w:snapToGrid/>
              <w:spacing w:line="440" w:lineRule="exact"/>
              <w:ind w:firstLine="360" w:firstLineChars="15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1.6废气监测计划</w:t>
            </w:r>
          </w:p>
          <w:p>
            <w:pPr>
              <w:pStyle w:val="51"/>
              <w:spacing w:line="440" w:lineRule="exact"/>
              <w:ind w:firstLine="464"/>
              <w:jc w:val="both"/>
              <w:rPr>
                <w:rFonts w:hint="eastAsia" w:ascii="Times New Roman" w:hAnsi="Times New Roman" w:cs="Times New Roman"/>
                <w:b w:val="0"/>
                <w:color w:val="auto"/>
                <w:szCs w:val="24"/>
              </w:rPr>
            </w:pPr>
            <w:r>
              <w:rPr>
                <w:rFonts w:ascii="Times New Roman" w:hAnsi="Times New Roman" w:cs="Times New Roman"/>
                <w:b w:val="0"/>
                <w:color w:val="auto"/>
                <w:szCs w:val="24"/>
              </w:rPr>
              <w:t>根据</w:t>
            </w:r>
            <w:r>
              <w:rPr>
                <w:rFonts w:hint="eastAsia" w:ascii="Times New Roman" w:hAnsi="Times New Roman" w:cs="Times New Roman"/>
                <w:b w:val="0"/>
                <w:color w:val="auto"/>
                <w:szCs w:val="24"/>
              </w:rPr>
              <w:t xml:space="preserve">《排污单位自行监测技术指南 </w:t>
            </w:r>
            <w:r>
              <w:rPr>
                <w:rFonts w:hint="eastAsia" w:ascii="Times New Roman" w:hAnsi="Times New Roman" w:cs="Times New Roman"/>
                <w:b w:val="0"/>
                <w:color w:val="auto"/>
                <w:szCs w:val="24"/>
                <w:lang w:eastAsia="zh-CN"/>
              </w:rPr>
              <w:t>橡胶和塑料制品</w:t>
            </w:r>
            <w:r>
              <w:rPr>
                <w:rFonts w:hint="eastAsia" w:ascii="Times New Roman" w:hAnsi="Times New Roman" w:cs="Times New Roman"/>
                <w:b w:val="0"/>
                <w:color w:val="auto"/>
                <w:szCs w:val="24"/>
              </w:rPr>
              <w:t>》（HJ1</w:t>
            </w:r>
            <w:r>
              <w:rPr>
                <w:rFonts w:hint="eastAsia" w:ascii="Times New Roman" w:hAnsi="Times New Roman" w:cs="Times New Roman"/>
                <w:b w:val="0"/>
                <w:color w:val="auto"/>
                <w:szCs w:val="24"/>
                <w:lang w:val="en-US" w:eastAsia="zh-CN"/>
              </w:rPr>
              <w:t>207</w:t>
            </w:r>
            <w:r>
              <w:rPr>
                <w:rFonts w:hint="eastAsia" w:ascii="Times New Roman" w:hAnsi="Times New Roman" w:cs="Times New Roman"/>
                <w:b w:val="0"/>
                <w:color w:val="auto"/>
                <w:szCs w:val="24"/>
              </w:rPr>
              <w:t>-202</w:t>
            </w:r>
            <w:r>
              <w:rPr>
                <w:rFonts w:hint="eastAsia" w:ascii="Times New Roman" w:hAnsi="Times New Roman" w:cs="Times New Roman"/>
                <w:b w:val="0"/>
                <w:color w:val="auto"/>
                <w:szCs w:val="24"/>
                <w:lang w:val="en-US" w:eastAsia="zh-CN"/>
              </w:rPr>
              <w:t>1</w:t>
            </w:r>
            <w:r>
              <w:rPr>
                <w:rFonts w:hint="eastAsia" w:ascii="Times New Roman" w:hAnsi="Times New Roman" w:cs="Times New Roman"/>
                <w:b w:val="0"/>
                <w:color w:val="auto"/>
                <w:szCs w:val="24"/>
              </w:rPr>
              <w:t>）</w:t>
            </w:r>
            <w:r>
              <w:rPr>
                <w:rFonts w:hint="eastAsia" w:ascii="Times New Roman" w:hAnsi="Times New Roman" w:cs="Times New Roman"/>
                <w:b w:val="0"/>
                <w:color w:val="auto"/>
                <w:szCs w:val="24"/>
                <w:lang w:eastAsia="zh-CN"/>
              </w:rPr>
              <w:t>和《</w:t>
            </w:r>
            <w:r>
              <w:rPr>
                <w:rFonts w:hint="eastAsia" w:ascii="Times New Roman" w:hAnsi="Times New Roman" w:cs="Times New Roman"/>
                <w:b w:val="0"/>
                <w:color w:val="auto"/>
                <w:szCs w:val="24"/>
              </w:rPr>
              <w:t xml:space="preserve">排污单位自行监测技术指南 </w:t>
            </w:r>
            <w:r>
              <w:rPr>
                <w:rFonts w:hint="eastAsia" w:ascii="Times New Roman" w:hAnsi="Times New Roman" w:cs="Times New Roman"/>
                <w:b w:val="0"/>
                <w:color w:val="auto"/>
                <w:szCs w:val="24"/>
                <w:lang w:eastAsia="zh-CN"/>
              </w:rPr>
              <w:t>总则》（</w:t>
            </w:r>
            <w:r>
              <w:rPr>
                <w:rFonts w:hint="eastAsia" w:ascii="Times New Roman" w:hAnsi="Times New Roman" w:cs="Times New Roman"/>
                <w:b w:val="0"/>
                <w:color w:val="auto"/>
                <w:szCs w:val="24"/>
                <w:lang w:val="en-US" w:eastAsia="zh-CN"/>
              </w:rPr>
              <w:t>HJ819-2017</w:t>
            </w:r>
            <w:r>
              <w:rPr>
                <w:rFonts w:hint="eastAsia" w:ascii="Times New Roman" w:hAnsi="Times New Roman" w:cs="Times New Roman"/>
                <w:b w:val="0"/>
                <w:color w:val="auto"/>
                <w:szCs w:val="24"/>
                <w:lang w:eastAsia="zh-CN"/>
              </w:rPr>
              <w:t>）</w:t>
            </w:r>
            <w:r>
              <w:rPr>
                <w:rFonts w:ascii="Times New Roman" w:hAnsi="Times New Roman" w:cs="Times New Roman"/>
                <w:b w:val="0"/>
                <w:color w:val="auto"/>
                <w:szCs w:val="24"/>
              </w:rPr>
              <w:t>，制定的废气污染源监测方案见表4-</w:t>
            </w:r>
            <w:r>
              <w:rPr>
                <w:rFonts w:hint="eastAsia" w:ascii="Times New Roman" w:hAnsi="Times New Roman" w:cs="Times New Roman"/>
                <w:b w:val="0"/>
                <w:color w:val="auto"/>
                <w:szCs w:val="24"/>
                <w:lang w:val="en-US" w:eastAsia="zh-CN"/>
              </w:rPr>
              <w:t>5</w:t>
            </w:r>
            <w:r>
              <w:rPr>
                <w:rFonts w:ascii="Times New Roman" w:hAnsi="Times New Roman" w:cs="Times New Roman"/>
                <w:b w:val="0"/>
                <w:color w:val="auto"/>
                <w:szCs w:val="24"/>
              </w:rPr>
              <w:t>。</w:t>
            </w:r>
          </w:p>
          <w:p>
            <w:pPr>
              <w:widowControl/>
              <w:adjustRightInd w:val="0"/>
              <w:snapToGrid w:val="0"/>
              <w:spacing w:line="240" w:lineRule="auto"/>
              <w:ind w:firstLine="0" w:firstLineChars="0"/>
              <w:jc w:val="center"/>
              <w:rPr>
                <w:b/>
                <w:bCs/>
                <w:color w:val="auto"/>
                <w:kern w:val="0"/>
                <w:sz w:val="21"/>
                <w:szCs w:val="21"/>
              </w:rPr>
            </w:pPr>
            <w:r>
              <w:rPr>
                <w:rFonts w:hint="eastAsia"/>
                <w:b/>
                <w:bCs/>
                <w:color w:val="auto"/>
                <w:kern w:val="0"/>
                <w:sz w:val="21"/>
                <w:szCs w:val="21"/>
              </w:rPr>
              <w:t>表4-</w:t>
            </w:r>
            <w:r>
              <w:rPr>
                <w:rFonts w:hint="eastAsia"/>
                <w:b/>
                <w:bCs/>
                <w:color w:val="auto"/>
                <w:kern w:val="0"/>
                <w:sz w:val="21"/>
                <w:szCs w:val="21"/>
                <w:lang w:val="en-US" w:eastAsia="zh-CN"/>
              </w:rPr>
              <w:t>5</w:t>
            </w:r>
            <w:r>
              <w:rPr>
                <w:rFonts w:hint="eastAsia"/>
                <w:b/>
                <w:bCs/>
                <w:color w:val="auto"/>
                <w:kern w:val="0"/>
                <w:sz w:val="21"/>
                <w:szCs w:val="21"/>
              </w:rPr>
              <w:t xml:space="preserve"> 废气监测计划</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7"/>
              <w:gridCol w:w="1121"/>
              <w:gridCol w:w="1563"/>
              <w:gridCol w:w="2614"/>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行业类别</w:t>
                  </w:r>
                </w:p>
              </w:tc>
              <w:tc>
                <w:tcPr>
                  <w:tcW w:w="654" w:type="pct"/>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监测点位</w:t>
                  </w:r>
                </w:p>
              </w:tc>
              <w:tc>
                <w:tcPr>
                  <w:tcW w:w="912" w:type="pct"/>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监测指标</w:t>
                  </w:r>
                </w:p>
              </w:tc>
              <w:tc>
                <w:tcPr>
                  <w:tcW w:w="1525" w:type="pct"/>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执行标准</w:t>
                  </w:r>
                </w:p>
              </w:tc>
              <w:tc>
                <w:tcPr>
                  <w:tcW w:w="957" w:type="pct"/>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restart"/>
                  <w:vAlign w:val="center"/>
                </w:tcPr>
                <w:p>
                  <w:pPr>
                    <w:adjustRightInd w:val="0"/>
                    <w:snapToGrid w:val="0"/>
                    <w:spacing w:line="240" w:lineRule="auto"/>
                    <w:ind w:firstLine="0" w:firstLineChars="0"/>
                    <w:jc w:val="center"/>
                    <w:rPr>
                      <w:rFonts w:hint="eastAsia" w:eastAsia="宋体"/>
                      <w:bCs/>
                      <w:color w:val="auto"/>
                      <w:sz w:val="21"/>
                      <w:szCs w:val="21"/>
                      <w:lang w:eastAsia="zh-CN"/>
                    </w:rPr>
                  </w:pPr>
                  <w:r>
                    <w:rPr>
                      <w:rFonts w:hint="eastAsia"/>
                      <w:color w:val="auto"/>
                      <w:sz w:val="24"/>
                      <w:szCs w:val="24"/>
                      <w:lang w:eastAsia="zh-CN"/>
                    </w:rPr>
                    <w:t>塑料制造</w:t>
                  </w:r>
                </w:p>
              </w:tc>
              <w:tc>
                <w:tcPr>
                  <w:tcW w:w="654" w:type="pct"/>
                  <w:vMerge w:val="restart"/>
                  <w:vAlign w:val="center"/>
                </w:tcPr>
                <w:p>
                  <w:pPr>
                    <w:adjustRightInd w:val="0"/>
                    <w:snapToGrid w:val="0"/>
                    <w:spacing w:line="240" w:lineRule="auto"/>
                    <w:ind w:firstLine="0" w:firstLineChars="0"/>
                    <w:jc w:val="center"/>
                    <w:rPr>
                      <w:bCs/>
                      <w:color w:val="auto"/>
                      <w:sz w:val="21"/>
                      <w:szCs w:val="21"/>
                    </w:rPr>
                  </w:pPr>
                  <w:r>
                    <w:rPr>
                      <w:color w:val="auto"/>
                      <w:sz w:val="21"/>
                      <w:szCs w:val="21"/>
                    </w:rPr>
                    <w:t>DA001</w:t>
                  </w:r>
                </w:p>
              </w:tc>
              <w:tc>
                <w:tcPr>
                  <w:tcW w:w="912" w:type="pct"/>
                  <w:vAlign w:val="center"/>
                </w:tcPr>
                <w:p>
                  <w:pPr>
                    <w:adjustRightInd w:val="0"/>
                    <w:snapToGrid w:val="0"/>
                    <w:spacing w:line="240" w:lineRule="auto"/>
                    <w:ind w:firstLine="0" w:firstLineChars="0"/>
                    <w:jc w:val="center"/>
                    <w:rPr>
                      <w:bCs/>
                      <w:color w:val="auto"/>
                      <w:sz w:val="21"/>
                      <w:szCs w:val="21"/>
                    </w:rPr>
                  </w:pPr>
                  <w:r>
                    <w:rPr>
                      <w:rFonts w:hint="eastAsia"/>
                      <w:bCs/>
                      <w:color w:val="auto"/>
                      <w:sz w:val="21"/>
                      <w:szCs w:val="21"/>
                    </w:rPr>
                    <w:t>颗粒物</w:t>
                  </w:r>
                </w:p>
              </w:tc>
              <w:tc>
                <w:tcPr>
                  <w:tcW w:w="1525" w:type="pct"/>
                  <w:vAlign w:val="center"/>
                </w:tcPr>
                <w:p>
                  <w:pPr>
                    <w:adjustRightInd w:val="0"/>
                    <w:snapToGrid w:val="0"/>
                    <w:spacing w:line="240" w:lineRule="auto"/>
                    <w:ind w:firstLine="0" w:firstLineChars="0"/>
                    <w:jc w:val="center"/>
                    <w:rPr>
                      <w:bCs/>
                      <w:color w:val="auto"/>
                      <w:sz w:val="21"/>
                      <w:szCs w:val="21"/>
                    </w:rPr>
                  </w:pPr>
                  <w:r>
                    <w:rPr>
                      <w:rFonts w:hint="eastAsia"/>
                      <w:bCs/>
                      <w:color w:val="auto"/>
                      <w:sz w:val="21"/>
                      <w:szCs w:val="21"/>
                    </w:rPr>
                    <w:t>GB</w:t>
                  </w:r>
                  <w:r>
                    <w:rPr>
                      <w:rFonts w:hint="eastAsia"/>
                      <w:bCs/>
                      <w:color w:val="auto"/>
                      <w:sz w:val="21"/>
                      <w:szCs w:val="21"/>
                      <w:lang w:val="en-US" w:eastAsia="zh-CN"/>
                    </w:rPr>
                    <w:t>16297-1996</w:t>
                  </w:r>
                </w:p>
              </w:tc>
              <w:tc>
                <w:tcPr>
                  <w:tcW w:w="957" w:type="pct"/>
                  <w:vAlign w:val="center"/>
                </w:tcPr>
                <w:p>
                  <w:pPr>
                    <w:adjustRightInd w:val="0"/>
                    <w:snapToGrid w:val="0"/>
                    <w:spacing w:line="240" w:lineRule="auto"/>
                    <w:ind w:firstLine="0" w:firstLineChars="0"/>
                    <w:jc w:val="center"/>
                    <w:rPr>
                      <w:rFonts w:hint="default" w:eastAsia="宋体"/>
                      <w:bCs/>
                      <w:color w:val="auto"/>
                      <w:sz w:val="21"/>
                      <w:szCs w:val="21"/>
                      <w:lang w:val="en-US" w:eastAsia="zh-CN"/>
                    </w:rPr>
                  </w:pPr>
                  <w:r>
                    <w:rPr>
                      <w:rFonts w:hint="eastAsia"/>
                      <w:bCs/>
                      <w:color w:val="auto"/>
                      <w:sz w:val="21"/>
                      <w:szCs w:val="21"/>
                      <w:lang w:val="en-US" w:eastAsia="zh-CN"/>
                    </w:rPr>
                    <w:t>1次/年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continue"/>
                  <w:vAlign w:val="center"/>
                </w:tcPr>
                <w:p>
                  <w:pPr>
                    <w:adjustRightInd w:val="0"/>
                    <w:snapToGrid w:val="0"/>
                    <w:spacing w:line="240" w:lineRule="auto"/>
                    <w:ind w:firstLine="0" w:firstLineChars="0"/>
                    <w:jc w:val="center"/>
                    <w:rPr>
                      <w:rFonts w:hint="eastAsia"/>
                      <w:bCs/>
                      <w:color w:val="auto"/>
                      <w:sz w:val="21"/>
                      <w:szCs w:val="21"/>
                    </w:rPr>
                  </w:pPr>
                </w:p>
              </w:tc>
              <w:tc>
                <w:tcPr>
                  <w:tcW w:w="654" w:type="pct"/>
                  <w:vMerge w:val="continue"/>
                  <w:vAlign w:val="center"/>
                </w:tcPr>
                <w:p>
                  <w:pPr>
                    <w:adjustRightInd w:val="0"/>
                    <w:snapToGrid w:val="0"/>
                    <w:spacing w:line="240" w:lineRule="auto"/>
                    <w:ind w:firstLine="0" w:firstLineChars="0"/>
                    <w:jc w:val="center"/>
                    <w:rPr>
                      <w:rFonts w:hint="default" w:eastAsia="宋体"/>
                      <w:color w:val="auto"/>
                      <w:sz w:val="21"/>
                      <w:szCs w:val="21"/>
                      <w:lang w:val="en-US" w:eastAsia="zh-CN"/>
                    </w:rPr>
                  </w:pPr>
                </w:p>
              </w:tc>
              <w:tc>
                <w:tcPr>
                  <w:tcW w:w="912" w:type="pct"/>
                  <w:vAlign w:val="center"/>
                </w:tcPr>
                <w:p>
                  <w:pPr>
                    <w:adjustRightInd w:val="0"/>
                    <w:snapToGrid w:val="0"/>
                    <w:spacing w:line="240" w:lineRule="auto"/>
                    <w:ind w:firstLine="0" w:firstLineChars="0"/>
                    <w:jc w:val="center"/>
                    <w:rPr>
                      <w:rFonts w:hint="default" w:eastAsia="宋体"/>
                      <w:bCs/>
                      <w:color w:val="auto"/>
                      <w:sz w:val="21"/>
                      <w:szCs w:val="21"/>
                      <w:lang w:val="en-US" w:eastAsia="zh-CN"/>
                    </w:rPr>
                  </w:pPr>
                  <w:r>
                    <w:rPr>
                      <w:rFonts w:hint="eastAsia"/>
                      <w:bCs/>
                      <w:color w:val="auto"/>
                      <w:sz w:val="21"/>
                      <w:szCs w:val="21"/>
                      <w:lang w:val="en-US" w:eastAsia="zh-CN"/>
                    </w:rPr>
                    <w:t>非甲烷总烃</w:t>
                  </w:r>
                </w:p>
              </w:tc>
              <w:tc>
                <w:tcPr>
                  <w:tcW w:w="1525" w:type="pct"/>
                  <w:vAlign w:val="center"/>
                </w:tcPr>
                <w:p>
                  <w:pPr>
                    <w:adjustRightInd w:val="0"/>
                    <w:snapToGrid w:val="0"/>
                    <w:spacing w:line="240" w:lineRule="auto"/>
                    <w:ind w:firstLine="0" w:firstLineChars="0"/>
                    <w:jc w:val="center"/>
                    <w:rPr>
                      <w:rFonts w:hint="eastAsia"/>
                      <w:bCs/>
                      <w:color w:val="auto"/>
                      <w:sz w:val="21"/>
                      <w:szCs w:val="21"/>
                    </w:rPr>
                  </w:pPr>
                  <w:r>
                    <w:rPr>
                      <w:rFonts w:hint="eastAsia"/>
                      <w:bCs/>
                      <w:color w:val="auto"/>
                      <w:sz w:val="21"/>
                      <w:szCs w:val="21"/>
                    </w:rPr>
                    <w:t>DB36 1101.4-2019</w:t>
                  </w:r>
                </w:p>
              </w:tc>
              <w:tc>
                <w:tcPr>
                  <w:tcW w:w="957" w:type="pct"/>
                  <w:vAlign w:val="center"/>
                </w:tcPr>
                <w:p>
                  <w:pPr>
                    <w:adjustRightInd w:val="0"/>
                    <w:snapToGrid w:val="0"/>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val="en-US" w:eastAsia="zh-CN"/>
                    </w:rPr>
                    <w:t>1次/</w:t>
                  </w:r>
                  <w:r>
                    <w:rPr>
                      <w:rFonts w:hint="eastAsia"/>
                      <w:bCs/>
                      <w:color w:val="auto"/>
                      <w:sz w:val="21"/>
                      <w:szCs w:val="21"/>
                      <w:lang w:eastAsia="zh-CN"/>
                    </w:rPr>
                    <w:t>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5"/>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无组织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监测点位</w:t>
                  </w:r>
                </w:p>
              </w:tc>
              <w:tc>
                <w:tcPr>
                  <w:tcW w:w="1566" w:type="pct"/>
                  <w:gridSpan w:val="2"/>
                  <w:vAlign w:val="center"/>
                </w:tcPr>
                <w:p>
                  <w:pPr>
                    <w:adjustRightInd w:val="0"/>
                    <w:snapToGrid w:val="0"/>
                    <w:spacing w:line="240" w:lineRule="auto"/>
                    <w:ind w:firstLine="0" w:firstLineChars="0"/>
                    <w:jc w:val="center"/>
                    <w:rPr>
                      <w:color w:val="auto"/>
                      <w:sz w:val="21"/>
                      <w:szCs w:val="21"/>
                    </w:rPr>
                  </w:pPr>
                  <w:r>
                    <w:rPr>
                      <w:rFonts w:hAnsi="宋体"/>
                      <w:bCs/>
                      <w:color w:val="auto"/>
                      <w:sz w:val="21"/>
                      <w:szCs w:val="21"/>
                    </w:rPr>
                    <w:t>监测指标</w:t>
                  </w:r>
                </w:p>
              </w:tc>
              <w:tc>
                <w:tcPr>
                  <w:tcW w:w="1525" w:type="pct"/>
                  <w:vAlign w:val="center"/>
                </w:tcPr>
                <w:p>
                  <w:pPr>
                    <w:adjustRightInd w:val="0"/>
                    <w:snapToGrid w:val="0"/>
                    <w:spacing w:line="240" w:lineRule="auto"/>
                    <w:ind w:firstLine="0" w:firstLineChars="0"/>
                    <w:jc w:val="center"/>
                    <w:rPr>
                      <w:bCs/>
                      <w:color w:val="auto"/>
                      <w:sz w:val="21"/>
                      <w:szCs w:val="21"/>
                    </w:rPr>
                  </w:pPr>
                  <w:r>
                    <w:rPr>
                      <w:rFonts w:hAnsi="宋体"/>
                      <w:color w:val="auto"/>
                      <w:sz w:val="21"/>
                      <w:szCs w:val="21"/>
                    </w:rPr>
                    <w:t>执行标准</w:t>
                  </w:r>
                </w:p>
              </w:tc>
              <w:tc>
                <w:tcPr>
                  <w:tcW w:w="957" w:type="pct"/>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最低监测频次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restart"/>
                  <w:vAlign w:val="center"/>
                </w:tcPr>
                <w:p>
                  <w:pPr>
                    <w:adjustRightInd w:val="0"/>
                    <w:snapToGrid w:val="0"/>
                    <w:spacing w:line="240" w:lineRule="auto"/>
                    <w:ind w:firstLine="0" w:firstLineChars="0"/>
                    <w:jc w:val="center"/>
                    <w:rPr>
                      <w:bCs/>
                      <w:color w:val="auto"/>
                      <w:sz w:val="21"/>
                      <w:szCs w:val="21"/>
                    </w:rPr>
                  </w:pPr>
                  <w:r>
                    <w:rPr>
                      <w:rFonts w:hAnsi="宋体"/>
                      <w:bCs/>
                      <w:color w:val="auto"/>
                      <w:sz w:val="21"/>
                      <w:szCs w:val="21"/>
                    </w:rPr>
                    <w:t>厂界</w:t>
                  </w:r>
                </w:p>
              </w:tc>
              <w:tc>
                <w:tcPr>
                  <w:tcW w:w="1566" w:type="pct"/>
                  <w:gridSpan w:val="2"/>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olor w:val="auto"/>
                      <w:sz w:val="21"/>
                      <w:szCs w:val="21"/>
                    </w:rPr>
                    <w:t>颗粒物</w:t>
                  </w:r>
                </w:p>
              </w:tc>
              <w:tc>
                <w:tcPr>
                  <w:tcW w:w="15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sz w:val="21"/>
                      <w:szCs w:val="21"/>
                      <w:lang w:eastAsia="zh-CN"/>
                    </w:rPr>
                    <w:t>GB 16297-1996</w:t>
                  </w:r>
                </w:p>
              </w:tc>
              <w:tc>
                <w:tcPr>
                  <w:tcW w:w="957" w:type="pct"/>
                  <w:vAlign w:val="center"/>
                </w:tcPr>
                <w:p>
                  <w:pPr>
                    <w:adjustRightInd w:val="0"/>
                    <w:snapToGrid w:val="0"/>
                    <w:spacing w:line="240" w:lineRule="auto"/>
                    <w:ind w:firstLine="0" w:firstLineChars="0"/>
                    <w:jc w:val="center"/>
                    <w:rPr>
                      <w:bCs/>
                      <w:color w:val="auto"/>
                      <w:sz w:val="21"/>
                      <w:szCs w:val="21"/>
                    </w:rPr>
                  </w:pPr>
                  <w:r>
                    <w:rPr>
                      <w:bCs/>
                      <w:color w:val="auto"/>
                      <w:sz w:val="21"/>
                      <w:szCs w:val="21"/>
                    </w:rPr>
                    <w:t>1</w:t>
                  </w:r>
                  <w:r>
                    <w:rPr>
                      <w:rFonts w:hAnsi="宋体"/>
                      <w:bCs/>
                      <w:color w:val="auto"/>
                      <w:sz w:val="21"/>
                      <w:szCs w:val="21"/>
                    </w:rPr>
                    <w:t>次</w:t>
                  </w:r>
                  <w:r>
                    <w:rPr>
                      <w:bCs/>
                      <w:color w:val="auto"/>
                      <w:sz w:val="21"/>
                      <w:szCs w:val="21"/>
                    </w:rPr>
                    <w:t>/</w:t>
                  </w:r>
                  <w:r>
                    <w:rPr>
                      <w:rFonts w:hAnsi="宋体"/>
                      <w:bCs/>
                      <w:color w:val="auto"/>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Merge w:val="continue"/>
                  <w:vAlign w:val="center"/>
                </w:tcPr>
                <w:p>
                  <w:pPr>
                    <w:adjustRightInd w:val="0"/>
                    <w:snapToGrid w:val="0"/>
                    <w:spacing w:line="240" w:lineRule="auto"/>
                    <w:ind w:firstLine="0" w:firstLineChars="0"/>
                    <w:jc w:val="center"/>
                    <w:rPr>
                      <w:rFonts w:hint="eastAsia" w:hAnsi="宋体"/>
                      <w:bCs/>
                      <w:color w:val="auto"/>
                      <w:sz w:val="21"/>
                      <w:szCs w:val="21"/>
                      <w:lang w:eastAsia="zh-CN"/>
                    </w:rPr>
                  </w:pPr>
                </w:p>
              </w:tc>
              <w:tc>
                <w:tcPr>
                  <w:tcW w:w="1566" w:type="pct"/>
                  <w:gridSpan w:val="2"/>
                  <w:vAlign w:val="center"/>
                </w:tcPr>
                <w:p>
                  <w:pPr>
                    <w:adjustRightInd w:val="0"/>
                    <w:snapToGrid w:val="0"/>
                    <w:spacing w:line="240" w:lineRule="auto"/>
                    <w:ind w:firstLine="0" w:firstLineChars="0"/>
                    <w:jc w:val="center"/>
                    <w:rPr>
                      <w:rFonts w:hint="default"/>
                      <w:color w:val="auto"/>
                      <w:sz w:val="21"/>
                      <w:szCs w:val="21"/>
                      <w:lang w:val="en-US" w:eastAsia="zh-CN"/>
                    </w:rPr>
                  </w:pPr>
                  <w:r>
                    <w:rPr>
                      <w:rFonts w:hint="eastAsia"/>
                      <w:bCs/>
                      <w:color w:val="auto"/>
                      <w:sz w:val="21"/>
                      <w:szCs w:val="21"/>
                      <w:lang w:val="en-US" w:eastAsia="zh-CN"/>
                    </w:rPr>
                    <w:t>非甲烷总烃</w:t>
                  </w:r>
                </w:p>
              </w:tc>
              <w:tc>
                <w:tcPr>
                  <w:tcW w:w="15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Cs/>
                      <w:color w:val="auto"/>
                      <w:sz w:val="21"/>
                      <w:szCs w:val="21"/>
                    </w:rPr>
                  </w:pPr>
                  <w:r>
                    <w:rPr>
                      <w:rFonts w:hint="eastAsia"/>
                      <w:bCs/>
                      <w:color w:val="auto"/>
                      <w:sz w:val="21"/>
                      <w:szCs w:val="21"/>
                    </w:rPr>
                    <w:t>GB337822</w:t>
                  </w:r>
                  <w:r>
                    <w:rPr>
                      <w:rFonts w:hint="eastAsia"/>
                      <w:bCs/>
                      <w:color w:val="auto"/>
                      <w:sz w:val="21"/>
                      <w:szCs w:val="21"/>
                      <w:lang w:val="en-US" w:eastAsia="zh-CN"/>
                    </w:rPr>
                    <w:t>-2019</w:t>
                  </w:r>
                </w:p>
              </w:tc>
              <w:tc>
                <w:tcPr>
                  <w:tcW w:w="957" w:type="pct"/>
                  <w:vAlign w:val="center"/>
                </w:tcPr>
                <w:p>
                  <w:pPr>
                    <w:adjustRightInd w:val="0"/>
                    <w:snapToGrid w:val="0"/>
                    <w:spacing w:line="240" w:lineRule="auto"/>
                    <w:ind w:firstLine="0" w:firstLineChars="0"/>
                    <w:jc w:val="center"/>
                    <w:rPr>
                      <w:rFonts w:hint="eastAsia"/>
                      <w:bCs/>
                      <w:color w:val="auto"/>
                      <w:sz w:val="21"/>
                      <w:szCs w:val="21"/>
                      <w:lang w:val="en-US" w:eastAsia="zh-CN"/>
                    </w:rPr>
                  </w:pPr>
                  <w:r>
                    <w:rPr>
                      <w:bCs/>
                      <w:color w:val="auto"/>
                      <w:sz w:val="21"/>
                      <w:szCs w:val="21"/>
                    </w:rPr>
                    <w:t>1</w:t>
                  </w:r>
                  <w:r>
                    <w:rPr>
                      <w:rFonts w:hAnsi="宋体"/>
                      <w:bCs/>
                      <w:color w:val="auto"/>
                      <w:sz w:val="21"/>
                      <w:szCs w:val="21"/>
                    </w:rPr>
                    <w:t>次</w:t>
                  </w:r>
                  <w:r>
                    <w:rPr>
                      <w:bCs/>
                      <w:color w:val="auto"/>
                      <w:sz w:val="21"/>
                      <w:szCs w:val="21"/>
                    </w:rPr>
                    <w:t>/</w:t>
                  </w:r>
                  <w:r>
                    <w:rPr>
                      <w:rFonts w:hAnsi="宋体"/>
                      <w:bCs/>
                      <w:color w:val="auto"/>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49" w:type="pct"/>
                  <w:vAlign w:val="center"/>
                </w:tcPr>
                <w:p>
                  <w:pPr>
                    <w:adjustRightInd w:val="0"/>
                    <w:snapToGrid w:val="0"/>
                    <w:spacing w:line="240" w:lineRule="auto"/>
                    <w:ind w:firstLine="0" w:firstLineChars="0"/>
                    <w:jc w:val="center"/>
                    <w:rPr>
                      <w:rFonts w:hint="eastAsia" w:ascii="Times New Roman" w:hAnsi="宋体" w:eastAsia="宋体" w:cs="Times New Roman"/>
                      <w:bCs/>
                      <w:color w:val="auto"/>
                      <w:kern w:val="2"/>
                      <w:sz w:val="21"/>
                      <w:szCs w:val="21"/>
                      <w:lang w:val="en-US" w:eastAsia="zh-CN" w:bidi="ar-SA"/>
                    </w:rPr>
                  </w:pPr>
                  <w:r>
                    <w:rPr>
                      <w:rFonts w:hint="eastAsia" w:hAnsi="宋体"/>
                      <w:bCs/>
                      <w:color w:val="auto"/>
                      <w:sz w:val="21"/>
                      <w:szCs w:val="21"/>
                      <w:lang w:eastAsia="zh-CN"/>
                    </w:rPr>
                    <w:t>厂房</w:t>
                  </w:r>
                </w:p>
              </w:tc>
              <w:tc>
                <w:tcPr>
                  <w:tcW w:w="1566" w:type="pct"/>
                  <w:gridSpan w:val="2"/>
                  <w:vAlign w:val="center"/>
                </w:tcPr>
                <w:p>
                  <w:pPr>
                    <w:adjustRightInd w:val="0"/>
                    <w:snapToGrid w:val="0"/>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bCs/>
                      <w:color w:val="auto"/>
                      <w:sz w:val="21"/>
                      <w:szCs w:val="21"/>
                      <w:lang w:val="en-US" w:eastAsia="zh-CN"/>
                    </w:rPr>
                    <w:t>非甲烷总烃</w:t>
                  </w:r>
                </w:p>
              </w:tc>
              <w:tc>
                <w:tcPr>
                  <w:tcW w:w="1525"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bCs/>
                      <w:color w:val="auto"/>
                      <w:sz w:val="21"/>
                      <w:szCs w:val="21"/>
                    </w:rPr>
                    <w:t>GB337822</w:t>
                  </w:r>
                  <w:r>
                    <w:rPr>
                      <w:rFonts w:hint="eastAsia"/>
                      <w:bCs/>
                      <w:color w:val="auto"/>
                      <w:sz w:val="21"/>
                      <w:szCs w:val="21"/>
                      <w:lang w:val="en-US" w:eastAsia="zh-CN"/>
                    </w:rPr>
                    <w:t>-2019</w:t>
                  </w:r>
                </w:p>
              </w:tc>
              <w:tc>
                <w:tcPr>
                  <w:tcW w:w="957" w:type="pct"/>
                  <w:vAlign w:val="center"/>
                </w:tcPr>
                <w:p>
                  <w:pPr>
                    <w:adjustRightInd w:val="0"/>
                    <w:snapToGrid w:val="0"/>
                    <w:spacing w:line="240" w:lineRule="auto"/>
                    <w:ind w:firstLine="0" w:firstLineChars="0"/>
                    <w:jc w:val="center"/>
                    <w:rPr>
                      <w:rFonts w:ascii="Times New Roman" w:hAnsi="Times New Roman" w:eastAsia="宋体" w:cs="Times New Roman"/>
                      <w:bCs/>
                      <w:color w:val="auto"/>
                      <w:kern w:val="2"/>
                      <w:sz w:val="21"/>
                      <w:szCs w:val="21"/>
                      <w:lang w:val="en-US" w:eastAsia="zh-CN" w:bidi="ar-SA"/>
                    </w:rPr>
                  </w:pPr>
                  <w:r>
                    <w:rPr>
                      <w:bCs/>
                      <w:color w:val="auto"/>
                      <w:sz w:val="21"/>
                      <w:szCs w:val="21"/>
                    </w:rPr>
                    <w:t>1</w:t>
                  </w:r>
                  <w:r>
                    <w:rPr>
                      <w:rFonts w:hAnsi="宋体"/>
                      <w:bCs/>
                      <w:color w:val="auto"/>
                      <w:sz w:val="21"/>
                      <w:szCs w:val="21"/>
                    </w:rPr>
                    <w:t>次</w:t>
                  </w:r>
                  <w:r>
                    <w:rPr>
                      <w:bCs/>
                      <w:color w:val="auto"/>
                      <w:sz w:val="21"/>
                      <w:szCs w:val="21"/>
                    </w:rPr>
                    <w:t>/</w:t>
                  </w:r>
                  <w:r>
                    <w:rPr>
                      <w:rFonts w:hAnsi="宋体"/>
                      <w:bCs/>
                      <w:color w:val="auto"/>
                      <w:sz w:val="21"/>
                      <w:szCs w:val="21"/>
                    </w:rPr>
                    <w:t>年</w:t>
                  </w:r>
                </w:p>
              </w:tc>
            </w:tr>
          </w:tbl>
          <w:p>
            <w:pPr>
              <w:rPr>
                <w:rFonts w:hint="default" w:ascii="Times New Roman" w:hAnsi="Times New Roman" w:cs="Times New Roman"/>
                <w:color w:val="0000FF"/>
                <w:vertAlign w:val="baseline"/>
              </w:rPr>
            </w:pPr>
          </w:p>
        </w:tc>
      </w:tr>
    </w:tbl>
    <w:p>
      <w:pPr>
        <w:rPr>
          <w:rFonts w:hint="default" w:ascii="Times New Roman" w:hAnsi="Times New Roman" w:cs="Times New Roman"/>
        </w:rPr>
        <w:sectPr>
          <w:pgSz w:w="11907" w:h="16840"/>
          <w:pgMar w:top="1080" w:right="1440" w:bottom="1080" w:left="1440" w:header="851" w:footer="851" w:gutter="0"/>
          <w:pgBorders>
            <w:top w:val="none" w:sz="0" w:space="0"/>
            <w:left w:val="none" w:sz="0" w:space="0"/>
            <w:bottom w:val="none" w:sz="0" w:space="0"/>
            <w:right w:val="none" w:sz="0" w:space="0"/>
          </w:pgBorders>
          <w:cols w:space="720" w:num="1"/>
          <w:docGrid w:linePitch="312" w:charSpace="0"/>
        </w:sectPr>
      </w:pPr>
    </w:p>
    <w:tbl>
      <w:tblPr>
        <w:tblStyle w:val="20"/>
        <w:tblW w:w="5027"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1"/>
        <w:gridCol w:w="138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74" w:hRule="atLeast"/>
          <w:jc w:val="center"/>
        </w:trPr>
        <w:tc>
          <w:tcPr>
            <w:tcW w:w="106" w:type="pct"/>
            <w:tcMar>
              <w:left w:w="28" w:type="dxa"/>
              <w:right w:w="28" w:type="dxa"/>
            </w:tcMar>
            <w:vAlign w:val="center"/>
          </w:tcPr>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运</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营</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期</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境</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影</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响</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和</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保</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护</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措</w:t>
            </w:r>
          </w:p>
          <w:p>
            <w:pPr>
              <w:adjustRightInd w:val="0"/>
              <w:snapToGrid w:val="0"/>
              <w:ind w:firstLine="0" w:firstLineChars="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施</w:t>
            </w:r>
          </w:p>
        </w:tc>
        <w:tc>
          <w:tcPr>
            <w:tcW w:w="4893" w:type="pct"/>
            <w:vAlign w:val="center"/>
          </w:tcPr>
          <w:p>
            <w:pPr>
              <w:pStyle w:val="26"/>
              <w:numPr>
                <w:ilvl w:val="0"/>
                <w:numId w:val="10"/>
              </w:numPr>
              <w:spacing w:line="440" w:lineRule="exact"/>
              <w:ind w:firstLine="480" w:firstLineChars="200"/>
              <w:jc w:val="both"/>
              <w:rPr>
                <w:rFonts w:ascii="Times New Roman" w:cs="Times New Roman"/>
                <w:color w:val="000000" w:themeColor="text1"/>
                <w14:textFill>
                  <w14:solidFill>
                    <w14:schemeClr w14:val="tx1"/>
                  </w14:solidFill>
                </w14:textFill>
              </w:rPr>
            </w:pPr>
            <w:r>
              <w:rPr>
                <w:rFonts w:ascii="Times New Roman" w:cs="Times New Roman"/>
                <w:color w:val="000000" w:themeColor="text1"/>
                <w14:textFill>
                  <w14:solidFill>
                    <w14:schemeClr w14:val="tx1"/>
                  </w14:solidFill>
                </w14:textFill>
              </w:rPr>
              <w:t>废</w:t>
            </w:r>
            <w:r>
              <w:rPr>
                <w:rFonts w:hint="eastAsia" w:ascii="Times New Roman" w:cs="Times New Roman"/>
                <w:color w:val="000000" w:themeColor="text1"/>
                <w14:textFill>
                  <w14:solidFill>
                    <w14:schemeClr w14:val="tx1"/>
                  </w14:solidFill>
                </w14:textFill>
              </w:rPr>
              <w:t>水</w:t>
            </w:r>
          </w:p>
          <w:p>
            <w:pPr>
              <w:pStyle w:val="26"/>
              <w:spacing w:line="440" w:lineRule="exact"/>
              <w:ind w:firstLine="480" w:firstLineChars="200"/>
              <w:jc w:val="both"/>
              <w:rPr>
                <w:bCs/>
                <w:color w:val="000000" w:themeColor="text1"/>
                <w:szCs w:val="21"/>
                <w14:textFill>
                  <w14:solidFill>
                    <w14:schemeClr w14:val="tx1"/>
                  </w14:solidFill>
                </w14:textFill>
              </w:rPr>
            </w:pPr>
            <w:r>
              <w:rPr>
                <w:rFonts w:ascii="Times New Roman" w:cs="Times New Roman"/>
                <w:color w:val="000000" w:themeColor="text1"/>
                <w:kern w:val="2"/>
                <w14:textFill>
                  <w14:solidFill>
                    <w14:schemeClr w14:val="tx1"/>
                  </w14:solidFill>
                </w14:textFill>
              </w:rPr>
              <w:t>本项目</w:t>
            </w:r>
            <w:r>
              <w:rPr>
                <w:rFonts w:hint="eastAsia" w:ascii="Times New Roman" w:cs="Times New Roman"/>
                <w:color w:val="000000" w:themeColor="text1"/>
                <w:kern w:val="2"/>
                <w:lang w:eastAsia="zh-CN"/>
                <w14:textFill>
                  <w14:solidFill>
                    <w14:schemeClr w14:val="tx1"/>
                  </w14:solidFill>
                </w14:textFill>
              </w:rPr>
              <w:t>外排</w:t>
            </w:r>
            <w:r>
              <w:rPr>
                <w:rFonts w:hint="eastAsia"/>
                <w:color w:val="000000" w:themeColor="text1"/>
                <w:szCs w:val="21"/>
                <w14:textFill>
                  <w14:solidFill>
                    <w14:schemeClr w14:val="tx1"/>
                  </w14:solidFill>
                </w14:textFill>
              </w:rPr>
              <w:t>废水主要是</w:t>
            </w:r>
            <w:r>
              <w:rPr>
                <w:rFonts w:hint="eastAsia"/>
                <w:bCs/>
                <w:color w:val="000000" w:themeColor="text1"/>
                <w:szCs w:val="21"/>
                <w14:textFill>
                  <w14:solidFill>
                    <w14:schemeClr w14:val="tx1"/>
                  </w14:solidFill>
                </w14:textFill>
              </w:rPr>
              <w:t>职工生活产生的生活污水。</w:t>
            </w:r>
          </w:p>
          <w:p>
            <w:pPr>
              <w:pStyle w:val="26"/>
              <w:spacing w:line="440" w:lineRule="exact"/>
              <w:ind w:firstLine="480" w:firstLineChars="200"/>
              <w:jc w:val="both"/>
              <w:rPr>
                <w:rFonts w:ascii="Times New Roman" w:cs="Times New Roman"/>
                <w:color w:val="000000" w:themeColor="text1"/>
                <w:kern w:val="2"/>
                <w14:textFill>
                  <w14:solidFill>
                    <w14:schemeClr w14:val="tx1"/>
                  </w14:solidFill>
                </w14:textFill>
              </w:rPr>
            </w:pPr>
            <w:r>
              <w:rPr>
                <w:rFonts w:hint="eastAsia" w:ascii="Times New Roman" w:cs="Times New Roman"/>
                <w:color w:val="000000" w:themeColor="text1"/>
                <w:kern w:val="2"/>
                <w14:textFill>
                  <w14:solidFill>
                    <w14:schemeClr w14:val="tx1"/>
                  </w14:solidFill>
                </w14:textFill>
              </w:rPr>
              <w:t>本项目废水产生及排放情况见表4-</w:t>
            </w:r>
            <w:r>
              <w:rPr>
                <w:rFonts w:hint="eastAsia" w:ascii="Times New Roman" w:cs="Times New Roman"/>
                <w:color w:val="000000" w:themeColor="text1"/>
                <w:kern w:val="2"/>
                <w:lang w:val="en-US" w:eastAsia="zh-CN"/>
                <w14:textFill>
                  <w14:solidFill>
                    <w14:schemeClr w14:val="tx1"/>
                  </w14:solidFill>
                </w14:textFill>
              </w:rPr>
              <w:t>6</w:t>
            </w:r>
            <w:r>
              <w:rPr>
                <w:rFonts w:hint="eastAsia" w:ascii="Times New Roman" w:cs="Times New Roman"/>
                <w:color w:val="000000" w:themeColor="text1"/>
                <w:kern w:val="2"/>
                <w14:textFill>
                  <w14:solidFill>
                    <w14:schemeClr w14:val="tx1"/>
                  </w14:solidFill>
                </w14:textFill>
              </w:rPr>
              <w:t>。</w:t>
            </w:r>
          </w:p>
          <w:p>
            <w:pPr>
              <w:pStyle w:val="7"/>
              <w:adjustRightInd w:val="0"/>
              <w:snapToGrid w:val="0"/>
              <w:spacing w:line="240" w:lineRule="auto"/>
              <w:ind w:firstLine="0" w:firstLineChars="0"/>
              <w:jc w:val="center"/>
              <w:rPr>
                <w:b/>
                <w:bCs/>
                <w:color w:val="000000" w:themeColor="text1"/>
                <w:kern w:val="0"/>
                <w:sz w:val="21"/>
                <w:szCs w:val="21"/>
                <w14:textFill>
                  <w14:solidFill>
                    <w14:schemeClr w14:val="tx1"/>
                  </w14:solidFill>
                </w14:textFill>
              </w:rPr>
            </w:pPr>
            <w:r>
              <w:rPr>
                <w:rFonts w:hint="eastAsia"/>
                <w:b/>
                <w:bCs/>
                <w:color w:val="000000" w:themeColor="text1"/>
                <w:kern w:val="0"/>
                <w:sz w:val="21"/>
                <w:szCs w:val="21"/>
                <w14:textFill>
                  <w14:solidFill>
                    <w14:schemeClr w14:val="tx1"/>
                  </w14:solidFill>
                </w14:textFill>
              </w:rPr>
              <w:t>表4-</w:t>
            </w:r>
            <w:r>
              <w:rPr>
                <w:rFonts w:hint="eastAsia"/>
                <w:b/>
                <w:bCs/>
                <w:color w:val="000000" w:themeColor="text1"/>
                <w:kern w:val="0"/>
                <w:sz w:val="21"/>
                <w:szCs w:val="21"/>
                <w:lang w:val="en-US" w:eastAsia="zh-CN"/>
                <w14:textFill>
                  <w14:solidFill>
                    <w14:schemeClr w14:val="tx1"/>
                  </w14:solidFill>
                </w14:textFill>
              </w:rPr>
              <w:t>6</w:t>
            </w:r>
            <w:r>
              <w:rPr>
                <w:rFonts w:hint="eastAsia"/>
                <w:b/>
                <w:bCs/>
                <w:color w:val="000000" w:themeColor="text1"/>
                <w:kern w:val="0"/>
                <w:sz w:val="21"/>
                <w:szCs w:val="21"/>
                <w14:textFill>
                  <w14:solidFill>
                    <w14:schemeClr w14:val="tx1"/>
                  </w14:solidFill>
                </w14:textFill>
              </w:rPr>
              <w:t xml:space="preserve"> 本项目废水产生、排放情况</w:t>
            </w:r>
          </w:p>
          <w:tbl>
            <w:tblPr>
              <w:tblStyle w:val="20"/>
              <w:tblW w:w="4996"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2"/>
              <w:gridCol w:w="219"/>
              <w:gridCol w:w="684"/>
              <w:gridCol w:w="747"/>
              <w:gridCol w:w="690"/>
              <w:gridCol w:w="605"/>
              <w:gridCol w:w="404"/>
              <w:gridCol w:w="489"/>
              <w:gridCol w:w="622"/>
              <w:gridCol w:w="581"/>
              <w:gridCol w:w="777"/>
              <w:gridCol w:w="706"/>
              <w:gridCol w:w="197"/>
              <w:gridCol w:w="499"/>
              <w:gridCol w:w="912"/>
              <w:gridCol w:w="727"/>
              <w:gridCol w:w="528"/>
              <w:gridCol w:w="1141"/>
              <w:gridCol w:w="1112"/>
              <w:gridCol w:w="718"/>
              <w:gridCol w:w="76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4"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产排污</w:t>
                  </w:r>
                </w:p>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环节</w:t>
                  </w:r>
                </w:p>
              </w:tc>
              <w:tc>
                <w:tcPr>
                  <w:tcW w:w="80"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类别</w:t>
                  </w:r>
                </w:p>
              </w:tc>
              <w:tc>
                <w:tcPr>
                  <w:tcW w:w="251"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污染物种类</w:t>
                  </w:r>
                </w:p>
              </w:tc>
              <w:tc>
                <w:tcPr>
                  <w:tcW w:w="527" w:type="pct"/>
                  <w:gridSpan w:val="2"/>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产生情况</w:t>
                  </w:r>
                </w:p>
              </w:tc>
              <w:tc>
                <w:tcPr>
                  <w:tcW w:w="777" w:type="pct"/>
                  <w:gridSpan w:val="4"/>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治理设施</w:t>
                  </w:r>
                </w:p>
              </w:tc>
              <w:tc>
                <w:tcPr>
                  <w:tcW w:w="757" w:type="pct"/>
                  <w:gridSpan w:val="3"/>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排放情况</w:t>
                  </w:r>
                </w:p>
              </w:tc>
              <w:tc>
                <w:tcPr>
                  <w:tcW w:w="72"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排放</w:t>
                  </w:r>
                </w:p>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方式</w:t>
                  </w:r>
                </w:p>
              </w:tc>
              <w:tc>
                <w:tcPr>
                  <w:tcW w:w="183"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排放</w:t>
                  </w:r>
                </w:p>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去向</w:t>
                  </w:r>
                </w:p>
              </w:tc>
              <w:tc>
                <w:tcPr>
                  <w:tcW w:w="334"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排放</w:t>
                  </w:r>
                </w:p>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规律</w:t>
                  </w:r>
                </w:p>
              </w:tc>
              <w:tc>
                <w:tcPr>
                  <w:tcW w:w="1286" w:type="pct"/>
                  <w:gridSpan w:val="4"/>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排放口基本情况</w:t>
                  </w:r>
                </w:p>
              </w:tc>
              <w:tc>
                <w:tcPr>
                  <w:tcW w:w="544" w:type="pct"/>
                  <w:gridSpan w:val="2"/>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排放标准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4"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p>
              </w:tc>
              <w:tc>
                <w:tcPr>
                  <w:tcW w:w="80"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p>
              </w:tc>
              <w:tc>
                <w:tcPr>
                  <w:tcW w:w="251"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p>
              </w:tc>
              <w:tc>
                <w:tcPr>
                  <w:tcW w:w="274"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产生浓度（mg/</w:t>
                  </w:r>
                  <w:r>
                    <w:rPr>
                      <w:rFonts w:hint="eastAsia"/>
                      <w:b/>
                      <w:bCs/>
                      <w:color w:val="000000" w:themeColor="text1"/>
                      <w:sz w:val="18"/>
                      <w:szCs w:val="18"/>
                      <w14:textFill>
                        <w14:solidFill>
                          <w14:schemeClr w14:val="tx1"/>
                        </w14:solidFill>
                      </w14:textFill>
                    </w:rPr>
                    <w:t>L</w:t>
                  </w:r>
                  <w:r>
                    <w:rPr>
                      <w:b/>
                      <w:bCs/>
                      <w:color w:val="000000" w:themeColor="text1"/>
                      <w:sz w:val="18"/>
                      <w:szCs w:val="18"/>
                      <w14:textFill>
                        <w14:solidFill>
                          <w14:schemeClr w14:val="tx1"/>
                        </w14:solidFill>
                      </w14:textFill>
                    </w:rPr>
                    <w:t>）</w:t>
                  </w:r>
                </w:p>
              </w:tc>
              <w:tc>
                <w:tcPr>
                  <w:tcW w:w="253"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产生量</w:t>
                  </w:r>
                </w:p>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w:t>
                  </w:r>
                  <w:r>
                    <w:rPr>
                      <w:rFonts w:hint="eastAsia"/>
                      <w:b/>
                      <w:bCs/>
                      <w:color w:val="000000" w:themeColor="text1"/>
                      <w:sz w:val="18"/>
                      <w:szCs w:val="18"/>
                      <w14:textFill>
                        <w14:solidFill>
                          <w14:schemeClr w14:val="tx1"/>
                        </w14:solidFill>
                      </w14:textFill>
                    </w:rPr>
                    <w:t>m</w:t>
                  </w:r>
                  <w:r>
                    <w:rPr>
                      <w:rFonts w:hint="eastAsia"/>
                      <w:b/>
                      <w:bCs/>
                      <w:color w:val="000000" w:themeColor="text1"/>
                      <w:sz w:val="18"/>
                      <w:szCs w:val="18"/>
                      <w:vertAlign w:val="superscript"/>
                      <w14:textFill>
                        <w14:solidFill>
                          <w14:schemeClr w14:val="tx1"/>
                        </w14:solidFill>
                      </w14:textFill>
                    </w:rPr>
                    <w:t>3</w:t>
                  </w:r>
                  <w:r>
                    <w:rPr>
                      <w:b/>
                      <w:bCs/>
                      <w:color w:val="000000" w:themeColor="text1"/>
                      <w:sz w:val="18"/>
                      <w:szCs w:val="18"/>
                      <w14:textFill>
                        <w14:solidFill>
                          <w14:schemeClr w14:val="tx1"/>
                        </w14:solidFill>
                      </w14:textFill>
                    </w:rPr>
                    <w:t>/a）</w:t>
                  </w:r>
                </w:p>
              </w:tc>
              <w:tc>
                <w:tcPr>
                  <w:tcW w:w="222"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处理能力</w:t>
                  </w:r>
                  <w:r>
                    <w:rPr>
                      <w:rFonts w:hint="eastAsia"/>
                      <w:b/>
                      <w:bCs/>
                      <w:color w:val="000000" w:themeColor="text1"/>
                      <w:sz w:val="18"/>
                      <w:szCs w:val="18"/>
                      <w14:textFill>
                        <w14:solidFill>
                          <w14:schemeClr w14:val="tx1"/>
                        </w14:solidFill>
                      </w14:textFill>
                    </w:rPr>
                    <w:t>（t/d）</w:t>
                  </w:r>
                </w:p>
              </w:tc>
              <w:tc>
                <w:tcPr>
                  <w:tcW w:w="148"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治理工艺</w:t>
                  </w:r>
                </w:p>
              </w:tc>
              <w:tc>
                <w:tcPr>
                  <w:tcW w:w="179"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治理</w:t>
                  </w:r>
                  <w:r>
                    <w:rPr>
                      <w:b/>
                      <w:bCs/>
                      <w:color w:val="000000" w:themeColor="text1"/>
                      <w:sz w:val="18"/>
                      <w:szCs w:val="18"/>
                      <w14:textFill>
                        <w14:solidFill>
                          <w14:schemeClr w14:val="tx1"/>
                        </w14:solidFill>
                      </w14:textFill>
                    </w:rPr>
                    <w:t>效率</w:t>
                  </w:r>
                </w:p>
              </w:tc>
              <w:tc>
                <w:tcPr>
                  <w:tcW w:w="228"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是否为可行技术</w:t>
                  </w:r>
                </w:p>
              </w:tc>
              <w:tc>
                <w:tcPr>
                  <w:tcW w:w="213"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排放量</w:t>
                  </w:r>
                </w:p>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（t/a）</w:t>
                  </w:r>
                </w:p>
              </w:tc>
              <w:tc>
                <w:tcPr>
                  <w:tcW w:w="285"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排放</w:t>
                  </w:r>
                  <w:r>
                    <w:rPr>
                      <w:b/>
                      <w:bCs/>
                      <w:color w:val="000000" w:themeColor="text1"/>
                      <w:sz w:val="18"/>
                      <w:szCs w:val="18"/>
                      <w14:textFill>
                        <w14:solidFill>
                          <w14:schemeClr w14:val="tx1"/>
                        </w14:solidFill>
                      </w14:textFill>
                    </w:rPr>
                    <w:t>浓度（mg/</w:t>
                  </w:r>
                  <w:r>
                    <w:rPr>
                      <w:rFonts w:hint="eastAsia"/>
                      <w:b/>
                      <w:bCs/>
                      <w:color w:val="000000" w:themeColor="text1"/>
                      <w:sz w:val="18"/>
                      <w:szCs w:val="18"/>
                      <w14:textFill>
                        <w14:solidFill>
                          <w14:schemeClr w14:val="tx1"/>
                        </w14:solidFill>
                      </w14:textFill>
                    </w:rPr>
                    <w:t>L</w:t>
                  </w:r>
                  <w:r>
                    <w:rPr>
                      <w:b/>
                      <w:bCs/>
                      <w:color w:val="000000" w:themeColor="text1"/>
                      <w:sz w:val="18"/>
                      <w:szCs w:val="18"/>
                      <w14:textFill>
                        <w14:solidFill>
                          <w14:schemeClr w14:val="tx1"/>
                        </w14:solidFill>
                      </w14:textFill>
                    </w:rPr>
                    <w:t>）</w:t>
                  </w:r>
                </w:p>
              </w:tc>
              <w:tc>
                <w:tcPr>
                  <w:tcW w:w="259"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排放</w:t>
                  </w:r>
                  <w:r>
                    <w:rPr>
                      <w:b/>
                      <w:bCs/>
                      <w:color w:val="000000" w:themeColor="text1"/>
                      <w:sz w:val="18"/>
                      <w:szCs w:val="18"/>
                      <w14:textFill>
                        <w14:solidFill>
                          <w14:schemeClr w14:val="tx1"/>
                        </w14:solidFill>
                      </w14:textFill>
                    </w:rPr>
                    <w:t>量</w:t>
                  </w:r>
                </w:p>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w:t>
                  </w:r>
                  <w:r>
                    <w:rPr>
                      <w:rFonts w:hint="eastAsia"/>
                      <w:b/>
                      <w:bCs/>
                      <w:color w:val="000000" w:themeColor="text1"/>
                      <w:sz w:val="18"/>
                      <w:szCs w:val="18"/>
                      <w14:textFill>
                        <w14:solidFill>
                          <w14:schemeClr w14:val="tx1"/>
                        </w14:solidFill>
                      </w14:textFill>
                    </w:rPr>
                    <w:t>m</w:t>
                  </w:r>
                  <w:r>
                    <w:rPr>
                      <w:rFonts w:hint="eastAsia"/>
                      <w:b/>
                      <w:bCs/>
                      <w:color w:val="000000" w:themeColor="text1"/>
                      <w:sz w:val="18"/>
                      <w:szCs w:val="18"/>
                      <w:vertAlign w:val="superscript"/>
                      <w14:textFill>
                        <w14:solidFill>
                          <w14:schemeClr w14:val="tx1"/>
                        </w14:solidFill>
                      </w14:textFill>
                    </w:rPr>
                    <w:t>3</w:t>
                  </w:r>
                  <w:r>
                    <w:rPr>
                      <w:b/>
                      <w:bCs/>
                      <w:color w:val="000000" w:themeColor="text1"/>
                      <w:sz w:val="18"/>
                      <w:szCs w:val="18"/>
                      <w14:textFill>
                        <w14:solidFill>
                          <w14:schemeClr w14:val="tx1"/>
                        </w14:solidFill>
                      </w14:textFill>
                    </w:rPr>
                    <w:t>/a）</w:t>
                  </w:r>
                </w:p>
              </w:tc>
              <w:tc>
                <w:tcPr>
                  <w:tcW w:w="72"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p>
              </w:tc>
              <w:tc>
                <w:tcPr>
                  <w:tcW w:w="183"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p>
              </w:tc>
              <w:tc>
                <w:tcPr>
                  <w:tcW w:w="334" w:type="pct"/>
                  <w:vMerge w:val="continue"/>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p>
              </w:tc>
              <w:tc>
                <w:tcPr>
                  <w:tcW w:w="266"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编号及名称</w:t>
                  </w:r>
                </w:p>
              </w:tc>
              <w:tc>
                <w:tcPr>
                  <w:tcW w:w="193"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类型</w:t>
                  </w:r>
                </w:p>
              </w:tc>
              <w:tc>
                <w:tcPr>
                  <w:tcW w:w="826" w:type="pct"/>
                  <w:gridSpan w:val="2"/>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地理坐标</w:t>
                  </w:r>
                </w:p>
              </w:tc>
              <w:tc>
                <w:tcPr>
                  <w:tcW w:w="263"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名称</w:t>
                  </w:r>
                </w:p>
              </w:tc>
              <w:tc>
                <w:tcPr>
                  <w:tcW w:w="281" w:type="pct"/>
                  <w:vMerge w:val="restar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浓度限值</w:t>
                  </w:r>
                  <w:r>
                    <w:rPr>
                      <w:rFonts w:hint="eastAsia"/>
                      <w:b/>
                      <w:bCs/>
                      <w:color w:val="000000" w:themeColor="text1"/>
                      <w:sz w:val="18"/>
                      <w:szCs w:val="18"/>
                      <w14:textFill>
                        <w14:solidFill>
                          <w14:schemeClr w14:val="tx1"/>
                        </w14:solidFill>
                      </w14:textFill>
                    </w:rPr>
                    <w:t>/（mg/L）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4"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80"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51"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74"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53"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22"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48"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79"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28"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13"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85"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59"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72"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83"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334"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66"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93"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418" w:type="pc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经度</w:t>
                  </w:r>
                </w:p>
              </w:tc>
              <w:tc>
                <w:tcPr>
                  <w:tcW w:w="408" w:type="pct"/>
                  <w:vAlign w:val="center"/>
                </w:tcPr>
                <w:p>
                  <w:pPr>
                    <w:keepNext w:val="0"/>
                    <w:keepLines w:val="0"/>
                    <w:pageBreakBefore w:val="0"/>
                    <w:kinsoku/>
                    <w:wordWrap/>
                    <w:overflowPunct/>
                    <w:topLinePunct w:val="0"/>
                    <w:bidi w:val="0"/>
                    <w:spacing w:line="240" w:lineRule="auto"/>
                    <w:ind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纬度</w:t>
                  </w:r>
                </w:p>
              </w:tc>
              <w:tc>
                <w:tcPr>
                  <w:tcW w:w="263"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81"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1" w:hRule="atLeast"/>
                <w:jc w:val="center"/>
              </w:trPr>
              <w:tc>
                <w:tcPr>
                  <w:tcW w:w="184" w:type="pct"/>
                  <w:vMerge w:val="restart"/>
                  <w:tcBorders>
                    <w:right w:val="single" w:color="000000" w:sz="6" w:space="0"/>
                  </w:tcBorders>
                  <w:vAlign w:val="center"/>
                </w:tcPr>
                <w:p>
                  <w:pPr>
                    <w:keepNext w:val="0"/>
                    <w:keepLines w:val="0"/>
                    <w:pageBreakBefore w:val="0"/>
                    <w:kinsoku/>
                    <w:wordWrap/>
                    <w:overflowPunct/>
                    <w:topLinePunct w:val="0"/>
                    <w:bidi w:val="0"/>
                    <w:spacing w:line="240" w:lineRule="auto"/>
                    <w:ind w:firstLine="0" w:firstLineChars="0"/>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员工生活</w:t>
                  </w:r>
                </w:p>
              </w:tc>
              <w:tc>
                <w:tcPr>
                  <w:tcW w:w="80" w:type="pct"/>
                  <w:vMerge w:val="restart"/>
                  <w:tcBorders>
                    <w:left w:val="single" w:color="000000" w:sz="6" w:space="0"/>
                  </w:tcBorders>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生活</w:t>
                  </w:r>
                </w:p>
                <w:p>
                  <w:pPr>
                    <w:keepNext w:val="0"/>
                    <w:keepLines w:val="0"/>
                    <w:pageBreakBefore w:val="0"/>
                    <w:kinsoku/>
                    <w:wordWrap/>
                    <w:overflowPunct/>
                    <w:topLinePunct w:val="0"/>
                    <w:bidi w:val="0"/>
                    <w:spacing w:line="240" w:lineRule="auto"/>
                    <w:ind w:firstLine="0" w:firstLineChars="0"/>
                    <w:jc w:val="center"/>
                    <w:rPr>
                      <w:rFonts w:hint="eastAsia" w:eastAsia="宋体"/>
                      <w:color w:val="000000" w:themeColor="text1"/>
                      <w:kern w:val="0"/>
                      <w:sz w:val="18"/>
                      <w:szCs w:val="18"/>
                      <w:lang w:eastAsia="zh-CN"/>
                      <w14:textFill>
                        <w14:solidFill>
                          <w14:schemeClr w14:val="tx1"/>
                        </w14:solidFill>
                      </w14:textFill>
                    </w:rPr>
                  </w:pPr>
                  <w:r>
                    <w:rPr>
                      <w:rFonts w:hint="eastAsia"/>
                      <w:color w:val="000000" w:themeColor="text1"/>
                      <w:sz w:val="18"/>
                      <w:szCs w:val="18"/>
                      <w14:textFill>
                        <w14:solidFill>
                          <w14:schemeClr w14:val="tx1"/>
                        </w14:solidFill>
                      </w14:textFill>
                    </w:rPr>
                    <w:t>污水</w:t>
                  </w:r>
                </w:p>
              </w:tc>
              <w:tc>
                <w:tcPr>
                  <w:tcW w:w="251" w:type="pct"/>
                  <w:tcBorders>
                    <w:left w:val="single" w:color="000000" w:sz="6" w:space="0"/>
                  </w:tcBorders>
                  <w:vAlign w:val="center"/>
                </w:tcPr>
                <w:p>
                  <w:pPr>
                    <w:pStyle w:val="9"/>
                    <w:keepNext w:val="0"/>
                    <w:keepLines w:val="0"/>
                    <w:pageBreakBefore w:val="0"/>
                    <w:kinsoku/>
                    <w:wordWrap/>
                    <w:overflowPunct/>
                    <w:topLinePunct w:val="0"/>
                    <w:bidi w:val="0"/>
                    <w:spacing w:before="0" w:after="0" w:line="240" w:lineRule="auto"/>
                    <w:ind w:right="0" w:rightChars="0" w:firstLine="0" w:firstLineChars="0"/>
                    <w:jc w:val="center"/>
                    <w:rPr>
                      <w:color w:val="000000" w:themeColor="text1"/>
                      <w:sz w:val="18"/>
                      <w:szCs w:val="18"/>
                      <w14:textFill>
                        <w14:solidFill>
                          <w14:schemeClr w14:val="tx1"/>
                        </w14:solidFill>
                      </w14:textFill>
                    </w:rPr>
                  </w:pPr>
                  <w:r>
                    <w:rPr>
                      <w:color w:val="000000" w:themeColor="text1"/>
                      <w:szCs w:val="18"/>
                      <w14:textFill>
                        <w14:solidFill>
                          <w14:schemeClr w14:val="tx1"/>
                        </w14:solidFill>
                      </w14:textFill>
                    </w:rPr>
                    <w:t>COD</w:t>
                  </w:r>
                  <w:r>
                    <w:rPr>
                      <w:color w:val="000000" w:themeColor="text1"/>
                      <w:szCs w:val="18"/>
                      <w:vertAlign w:val="subscript"/>
                      <w14:textFill>
                        <w14:solidFill>
                          <w14:schemeClr w14:val="tx1"/>
                        </w14:solidFill>
                      </w14:textFill>
                    </w:rPr>
                    <w:t>Cr</w:t>
                  </w:r>
                </w:p>
              </w:tc>
              <w:tc>
                <w:tcPr>
                  <w:tcW w:w="274"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color w:val="000000" w:themeColor="text1"/>
                      <w:kern w:val="0"/>
                      <w:sz w:val="18"/>
                      <w:szCs w:val="18"/>
                      <w14:textFill>
                        <w14:solidFill>
                          <w14:schemeClr w14:val="tx1"/>
                        </w14:solidFill>
                      </w14:textFill>
                    </w:rPr>
                    <w:t>350</w:t>
                  </w:r>
                </w:p>
              </w:tc>
              <w:tc>
                <w:tcPr>
                  <w:tcW w:w="253"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eastAsia="宋体"/>
                      <w:color w:val="000000" w:themeColor="text1"/>
                      <w:kern w:val="0"/>
                      <w:sz w:val="18"/>
                      <w:szCs w:val="18"/>
                      <w:lang w:val="en-US" w:eastAsia="zh-CN"/>
                      <w14:textFill>
                        <w14:solidFill>
                          <w14:schemeClr w14:val="tx1"/>
                        </w14:solidFill>
                      </w14:textFill>
                    </w:rPr>
                    <w:t>0.504</w:t>
                  </w:r>
                </w:p>
              </w:tc>
              <w:tc>
                <w:tcPr>
                  <w:tcW w:w="222" w:type="pct"/>
                  <w:vMerge w:val="restart"/>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148" w:type="pct"/>
                  <w:vMerge w:val="restart"/>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化粪池</w:t>
                  </w:r>
                </w:p>
              </w:tc>
              <w:tc>
                <w:tcPr>
                  <w:tcW w:w="489" w:type="dxa"/>
                  <w:vAlign w:val="center"/>
                </w:tcPr>
                <w:p>
                  <w:pPr>
                    <w:keepNext w:val="0"/>
                    <w:keepLines w:val="0"/>
                    <w:pageBreakBefore w:val="0"/>
                    <w:kinsoku/>
                    <w:wordWrap/>
                    <w:overflowPunct/>
                    <w:topLinePunct w:val="0"/>
                    <w:bidi w:val="0"/>
                    <w:spacing w:line="240" w:lineRule="auto"/>
                    <w:ind w:firstLine="0" w:firstLineChars="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15%</w:t>
                  </w:r>
                </w:p>
              </w:tc>
              <w:tc>
                <w:tcPr>
                  <w:tcW w:w="228" w:type="pct"/>
                  <w:vMerge w:val="restart"/>
                  <w:vAlign w:val="center"/>
                </w:tcPr>
                <w:p>
                  <w:pPr>
                    <w:keepNext w:val="0"/>
                    <w:keepLines w:val="0"/>
                    <w:pageBreakBefore w:val="0"/>
                    <w:kinsoku/>
                    <w:wordWrap/>
                    <w:overflowPunct/>
                    <w:topLinePunct w:val="0"/>
                    <w:bidi w:val="0"/>
                    <w:spacing w:line="240" w:lineRule="auto"/>
                    <w:ind w:firstLine="0" w:firstLineChars="0"/>
                    <w:jc w:val="center"/>
                    <w:rPr>
                      <w:rFonts w:hint="eastAsia" w:eastAsia="宋体"/>
                      <w:color w:val="000000" w:themeColor="text1"/>
                      <w:sz w:val="18"/>
                      <w:szCs w:val="18"/>
                      <w:lang w:eastAsia="zh-CN"/>
                      <w14:textFill>
                        <w14:solidFill>
                          <w14:schemeClr w14:val="tx1"/>
                        </w14:solidFill>
                      </w14:textFill>
                    </w:rPr>
                  </w:pPr>
                  <w:r>
                    <w:rPr>
                      <w:rFonts w:hint="eastAsia"/>
                      <w:color w:val="000000" w:themeColor="text1"/>
                      <w:sz w:val="18"/>
                      <w:szCs w:val="18"/>
                      <w:lang w:eastAsia="zh-CN"/>
                      <w14:textFill>
                        <w14:solidFill>
                          <w14:schemeClr w14:val="tx1"/>
                        </w14:solidFill>
                      </w14:textFill>
                    </w:rPr>
                    <w:t>是</w:t>
                  </w:r>
                </w:p>
              </w:tc>
              <w:tc>
                <w:tcPr>
                  <w:tcW w:w="213" w:type="pct"/>
                  <w:vMerge w:val="restart"/>
                  <w:vAlign w:val="center"/>
                </w:tcPr>
                <w:p>
                  <w:pPr>
                    <w:keepNext w:val="0"/>
                    <w:keepLines w:val="0"/>
                    <w:pageBreakBefore w:val="0"/>
                    <w:kinsoku/>
                    <w:wordWrap/>
                    <w:overflowPunct/>
                    <w:topLinePunct w:val="0"/>
                    <w:autoSpaceDE w:val="0"/>
                    <w:autoSpaceDN w:val="0"/>
                    <w:bidi w:val="0"/>
                    <w:adjustRightInd w:val="0"/>
                    <w:spacing w:line="240" w:lineRule="auto"/>
                    <w:ind w:firstLine="0" w:firstLineChars="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1440</w:t>
                  </w:r>
                </w:p>
              </w:tc>
              <w:tc>
                <w:tcPr>
                  <w:tcW w:w="777" w:type="dxa"/>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297.5</w:t>
                  </w:r>
                </w:p>
              </w:tc>
              <w:tc>
                <w:tcPr>
                  <w:tcW w:w="259"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eastAsia="宋体"/>
                      <w:color w:val="000000" w:themeColor="text1"/>
                      <w:kern w:val="0"/>
                      <w:sz w:val="18"/>
                      <w:szCs w:val="18"/>
                      <w:lang w:val="en-US" w:eastAsia="zh-CN"/>
                      <w14:textFill>
                        <w14:solidFill>
                          <w14:schemeClr w14:val="tx1"/>
                        </w14:solidFill>
                      </w14:textFill>
                    </w:rPr>
                    <w:t>0.428</w:t>
                  </w:r>
                </w:p>
              </w:tc>
              <w:tc>
                <w:tcPr>
                  <w:tcW w:w="72" w:type="pct"/>
                  <w:vMerge w:val="restart"/>
                  <w:vAlign w:val="center"/>
                </w:tcPr>
                <w:p>
                  <w:pPr>
                    <w:keepNext w:val="0"/>
                    <w:keepLines w:val="0"/>
                    <w:pageBreakBefore w:val="0"/>
                    <w:kinsoku/>
                    <w:wordWrap/>
                    <w:overflowPunct/>
                    <w:topLinePunct w:val="0"/>
                    <w:autoSpaceDE w:val="0"/>
                    <w:autoSpaceDN w:val="0"/>
                    <w:bidi w:val="0"/>
                    <w:adjustRightInd w:val="0"/>
                    <w:spacing w:line="240" w:lineRule="auto"/>
                    <w:ind w:firstLine="0" w:firstLineChars="0"/>
                    <w:jc w:val="center"/>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eastAsia="zh-CN"/>
                      <w14:textFill>
                        <w14:solidFill>
                          <w14:schemeClr w14:val="tx1"/>
                        </w14:solidFill>
                      </w14:textFill>
                    </w:rPr>
                    <w:t>间接排放</w:t>
                  </w:r>
                </w:p>
              </w:tc>
              <w:tc>
                <w:tcPr>
                  <w:tcW w:w="183" w:type="pct"/>
                  <w:vMerge w:val="restart"/>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rFonts w:hint="eastAsia" w:eastAsia="宋体"/>
                      <w:color w:val="000000" w:themeColor="text1"/>
                      <w:szCs w:val="18"/>
                      <w:lang w:eastAsia="zh-CN"/>
                      <w14:textFill>
                        <w14:solidFill>
                          <w14:schemeClr w14:val="tx1"/>
                        </w14:solidFill>
                      </w14:textFill>
                    </w:rPr>
                  </w:pPr>
                  <w:r>
                    <w:rPr>
                      <w:rFonts w:hint="eastAsia"/>
                      <w:color w:val="000000" w:themeColor="text1"/>
                      <w:szCs w:val="18"/>
                      <w:lang w:eastAsia="zh-CN"/>
                      <w14:textFill>
                        <w14:solidFill>
                          <w14:schemeClr w14:val="tx1"/>
                        </w14:solidFill>
                      </w14:textFill>
                    </w:rPr>
                    <w:t>婺源县城西（工业园区）污水处理厂</w:t>
                  </w:r>
                </w:p>
              </w:tc>
              <w:tc>
                <w:tcPr>
                  <w:tcW w:w="334" w:type="pct"/>
                  <w:vMerge w:val="restart"/>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r>
                    <w:rPr>
                      <w:color w:val="000000" w:themeColor="text1"/>
                      <w:szCs w:val="18"/>
                      <w14:textFill>
                        <w14:solidFill>
                          <w14:schemeClr w14:val="tx1"/>
                        </w14:solidFill>
                      </w14:textFill>
                    </w:rPr>
                    <w:t>间断排放，排放期间流量不稳定且无规律，但不属于冲击型排放</w:t>
                  </w:r>
                </w:p>
              </w:tc>
              <w:tc>
                <w:tcPr>
                  <w:tcW w:w="266" w:type="pct"/>
                  <w:vMerge w:val="restart"/>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DW001，废水总排口</w:t>
                  </w:r>
                </w:p>
              </w:tc>
              <w:tc>
                <w:tcPr>
                  <w:tcW w:w="193" w:type="pct"/>
                  <w:vMerge w:val="restart"/>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一般排放口</w:t>
                  </w:r>
                </w:p>
              </w:tc>
              <w:tc>
                <w:tcPr>
                  <w:tcW w:w="418" w:type="pct"/>
                  <w:vMerge w:val="restar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pacing w:val="-4"/>
                      <w:sz w:val="18"/>
                      <w:szCs w:val="18"/>
                      <w14:textFill>
                        <w14:solidFill>
                          <w14:schemeClr w14:val="tx1"/>
                        </w14:solidFill>
                      </w14:textFill>
                    </w:rPr>
                  </w:pPr>
                  <w:r>
                    <w:rPr>
                      <w:rFonts w:hint="default" w:ascii="Times New Roman" w:hAnsi="Times New Roman" w:cs="Times New Roman"/>
                      <w:bCs/>
                      <w:snapToGrid w:val="0"/>
                      <w:color w:val="000000" w:themeColor="text1"/>
                      <w:spacing w:val="-4"/>
                      <w:sz w:val="18"/>
                      <w:szCs w:val="18"/>
                      <w14:textFill>
                        <w14:solidFill>
                          <w14:schemeClr w14:val="tx1"/>
                        </w14:solidFill>
                      </w14:textFill>
                    </w:rPr>
                    <w:t>117°48′47.65589″</w:t>
                  </w:r>
                </w:p>
              </w:tc>
              <w:tc>
                <w:tcPr>
                  <w:tcW w:w="408" w:type="pct"/>
                  <w:vMerge w:val="restar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18"/>
                      <w:szCs w:val="18"/>
                      <w14:textFill>
                        <w14:solidFill>
                          <w14:schemeClr w14:val="tx1"/>
                        </w14:solidFill>
                      </w14:textFill>
                    </w:rPr>
                  </w:pPr>
                  <w:r>
                    <w:rPr>
                      <w:rFonts w:hint="default" w:ascii="Times New Roman" w:hAnsi="Times New Roman" w:cs="Times New Roman"/>
                      <w:bCs/>
                      <w:snapToGrid w:val="0"/>
                      <w:color w:val="000000" w:themeColor="text1"/>
                      <w:sz w:val="18"/>
                      <w:szCs w:val="18"/>
                      <w14:textFill>
                        <w14:solidFill>
                          <w14:schemeClr w14:val="tx1"/>
                        </w14:solidFill>
                      </w14:textFill>
                    </w:rPr>
                    <w:t>29°15′29.78532″</w:t>
                  </w:r>
                </w:p>
              </w:tc>
              <w:tc>
                <w:tcPr>
                  <w:tcW w:w="263" w:type="pct"/>
                  <w:vMerge w:val="restart"/>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rFonts w:hint="eastAsia" w:eastAsia="宋体"/>
                      <w:b/>
                      <w:color w:val="000000" w:themeColor="text1"/>
                      <w:szCs w:val="18"/>
                      <w:lang w:eastAsia="zh-CN"/>
                      <w14:textFill>
                        <w14:solidFill>
                          <w14:schemeClr w14:val="tx1"/>
                        </w14:solidFill>
                      </w14:textFill>
                    </w:rPr>
                  </w:pPr>
                  <w:r>
                    <w:rPr>
                      <w:bCs/>
                      <w:snapToGrid w:val="0"/>
                      <w:color w:val="000000" w:themeColor="text1"/>
                      <w:szCs w:val="18"/>
                      <w14:textFill>
                        <w14:solidFill>
                          <w14:schemeClr w14:val="tx1"/>
                        </w14:solidFill>
                      </w14:textFill>
                    </w:rPr>
                    <w:t>《污水综合排放标准》</w:t>
                  </w:r>
                  <w:r>
                    <w:rPr>
                      <w:rFonts w:hint="eastAsia"/>
                      <w:bCs/>
                      <w:snapToGrid w:val="0"/>
                      <w:color w:val="000000" w:themeColor="text1"/>
                      <w:szCs w:val="18"/>
                      <w14:textFill>
                        <w14:solidFill>
                          <w14:schemeClr w14:val="tx1"/>
                        </w14:solidFill>
                      </w14:textFill>
                    </w:rPr>
                    <w:t>（</w:t>
                  </w:r>
                  <w:r>
                    <w:rPr>
                      <w:bCs/>
                      <w:snapToGrid w:val="0"/>
                      <w:color w:val="000000" w:themeColor="text1"/>
                      <w:szCs w:val="18"/>
                      <w14:textFill>
                        <w14:solidFill>
                          <w14:schemeClr w14:val="tx1"/>
                        </w14:solidFill>
                      </w14:textFill>
                    </w:rPr>
                    <w:t>GB8978-1996</w:t>
                  </w:r>
                  <w:r>
                    <w:rPr>
                      <w:rFonts w:hint="eastAsia"/>
                      <w:bCs/>
                      <w:snapToGrid w:val="0"/>
                      <w:color w:val="000000" w:themeColor="text1"/>
                      <w:szCs w:val="18"/>
                      <w14:textFill>
                        <w14:solidFill>
                          <w14:schemeClr w14:val="tx1"/>
                        </w14:solidFill>
                      </w14:textFill>
                    </w:rPr>
                    <w:t>）</w:t>
                  </w:r>
                  <w:r>
                    <w:rPr>
                      <w:rFonts w:hint="eastAsia"/>
                      <w:bCs/>
                      <w:snapToGrid w:val="0"/>
                      <w:color w:val="000000" w:themeColor="text1"/>
                      <w:szCs w:val="18"/>
                      <w:lang w:eastAsia="zh-CN"/>
                      <w14:textFill>
                        <w14:solidFill>
                          <w14:schemeClr w14:val="tx1"/>
                        </w14:solidFill>
                      </w14:textFill>
                    </w:rPr>
                    <w:t>三</w:t>
                  </w:r>
                  <w:r>
                    <w:rPr>
                      <w:bCs/>
                      <w:snapToGrid w:val="0"/>
                      <w:color w:val="000000" w:themeColor="text1"/>
                      <w:szCs w:val="18"/>
                      <w14:textFill>
                        <w14:solidFill>
                          <w14:schemeClr w14:val="tx1"/>
                        </w14:solidFill>
                      </w14:textFill>
                    </w:rPr>
                    <w:t>级标准</w:t>
                  </w:r>
                </w:p>
              </w:tc>
              <w:tc>
                <w:tcPr>
                  <w:tcW w:w="281"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outlineLvl w:val="2"/>
                    <w:rPr>
                      <w:rFonts w:hint="default" w:eastAsia="宋体"/>
                      <w:bCs/>
                      <w:snapToGrid w:val="0"/>
                      <w:color w:val="000000" w:themeColor="text1"/>
                      <w:sz w:val="18"/>
                      <w:szCs w:val="18"/>
                      <w:lang w:val="en-US" w:eastAsia="zh-CN"/>
                      <w14:textFill>
                        <w14:solidFill>
                          <w14:schemeClr w14:val="tx1"/>
                        </w14:solidFill>
                      </w14:textFill>
                    </w:rPr>
                  </w:pPr>
                  <w:r>
                    <w:rPr>
                      <w:rFonts w:hint="eastAsia"/>
                      <w:bCs/>
                      <w:snapToGrid w:val="0"/>
                      <w:color w:val="000000" w:themeColor="text1"/>
                      <w:sz w:val="18"/>
                      <w:szCs w:val="18"/>
                      <w:lang w:val="en-US" w:eastAsia="zh-CN"/>
                      <w14:textFill>
                        <w14:solidFill>
                          <w14:schemeClr w14:val="tx1"/>
                        </w14:solidFill>
                      </w14:textFill>
                    </w:rPr>
                    <w:t>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4" w:hRule="atLeast"/>
                <w:jc w:val="center"/>
              </w:trPr>
              <w:tc>
                <w:tcPr>
                  <w:tcW w:w="184" w:type="pct"/>
                  <w:vMerge w:val="continue"/>
                  <w:tcBorders>
                    <w:right w:val="single" w:color="000000" w:sz="6" w:space="0"/>
                  </w:tcBorders>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80" w:type="pct"/>
                  <w:vMerge w:val="continue"/>
                  <w:tcBorders>
                    <w:left w:val="single" w:color="000000" w:sz="6" w:space="0"/>
                  </w:tcBorders>
                  <w:vAlign w:val="center"/>
                </w:tcPr>
                <w:p>
                  <w:pPr>
                    <w:keepNext w:val="0"/>
                    <w:keepLines w:val="0"/>
                    <w:pageBreakBefore w:val="0"/>
                    <w:kinsoku/>
                    <w:wordWrap/>
                    <w:overflowPunct/>
                    <w:topLinePunct w:val="0"/>
                    <w:bidi w:val="0"/>
                    <w:spacing w:line="240" w:lineRule="auto"/>
                    <w:ind w:firstLine="0" w:firstLineChars="0"/>
                    <w:jc w:val="center"/>
                    <w:rPr>
                      <w:color w:val="000000" w:themeColor="text1"/>
                      <w:kern w:val="0"/>
                      <w:sz w:val="18"/>
                      <w:szCs w:val="18"/>
                      <w14:textFill>
                        <w14:solidFill>
                          <w14:schemeClr w14:val="tx1"/>
                        </w14:solidFill>
                      </w14:textFill>
                    </w:rPr>
                  </w:pPr>
                </w:p>
              </w:tc>
              <w:tc>
                <w:tcPr>
                  <w:tcW w:w="251" w:type="pct"/>
                  <w:tcBorders>
                    <w:left w:val="single" w:color="000000" w:sz="6" w:space="0"/>
                  </w:tcBorders>
                  <w:vAlign w:val="center"/>
                </w:tcPr>
                <w:p>
                  <w:pPr>
                    <w:pStyle w:val="9"/>
                    <w:keepNext w:val="0"/>
                    <w:keepLines w:val="0"/>
                    <w:pageBreakBefore w:val="0"/>
                    <w:kinsoku/>
                    <w:wordWrap/>
                    <w:overflowPunct/>
                    <w:topLinePunct w:val="0"/>
                    <w:bidi w:val="0"/>
                    <w:spacing w:before="0" w:after="0" w:line="240" w:lineRule="auto"/>
                    <w:ind w:right="0" w:rightChars="0" w:firstLine="0" w:firstLineChars="0"/>
                    <w:jc w:val="center"/>
                    <w:rPr>
                      <w:color w:val="000000" w:themeColor="text1"/>
                      <w:kern w:val="0"/>
                      <w:sz w:val="18"/>
                      <w:szCs w:val="18"/>
                      <w14:textFill>
                        <w14:solidFill>
                          <w14:schemeClr w14:val="tx1"/>
                        </w14:solidFill>
                      </w14:textFill>
                    </w:rPr>
                  </w:pPr>
                  <w:r>
                    <w:rPr>
                      <w:color w:val="000000" w:themeColor="text1"/>
                      <w:szCs w:val="18"/>
                      <w14:textFill>
                        <w14:solidFill>
                          <w14:schemeClr w14:val="tx1"/>
                        </w14:solidFill>
                      </w14:textFill>
                    </w:rPr>
                    <w:t>NH</w:t>
                  </w:r>
                  <w:r>
                    <w:rPr>
                      <w:color w:val="000000" w:themeColor="text1"/>
                      <w:szCs w:val="18"/>
                      <w:vertAlign w:val="subscript"/>
                      <w14:textFill>
                        <w14:solidFill>
                          <w14:schemeClr w14:val="tx1"/>
                        </w14:solidFill>
                      </w14:textFill>
                    </w:rPr>
                    <w:t>3</w:t>
                  </w:r>
                  <w:r>
                    <w:rPr>
                      <w:color w:val="000000" w:themeColor="text1"/>
                      <w:szCs w:val="18"/>
                      <w14:textFill>
                        <w14:solidFill>
                          <w14:schemeClr w14:val="tx1"/>
                        </w14:solidFill>
                      </w14:textFill>
                    </w:rPr>
                    <w:t>-N</w:t>
                  </w:r>
                </w:p>
              </w:tc>
              <w:tc>
                <w:tcPr>
                  <w:tcW w:w="274"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color w:val="000000" w:themeColor="text1"/>
                      <w:kern w:val="0"/>
                      <w:sz w:val="18"/>
                      <w:szCs w:val="18"/>
                      <w14:textFill>
                        <w14:solidFill>
                          <w14:schemeClr w14:val="tx1"/>
                        </w14:solidFill>
                      </w14:textFill>
                    </w:rPr>
                    <w:t>30</w:t>
                  </w:r>
                </w:p>
              </w:tc>
              <w:tc>
                <w:tcPr>
                  <w:tcW w:w="253"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eastAsia="宋体"/>
                      <w:color w:val="000000" w:themeColor="text1"/>
                      <w:kern w:val="0"/>
                      <w:sz w:val="18"/>
                      <w:szCs w:val="18"/>
                      <w:lang w:val="en-US" w:eastAsia="zh-CN"/>
                      <w14:textFill>
                        <w14:solidFill>
                          <w14:schemeClr w14:val="tx1"/>
                        </w14:solidFill>
                      </w14:textFill>
                    </w:rPr>
                    <w:t>0.043</w:t>
                  </w:r>
                </w:p>
              </w:tc>
              <w:tc>
                <w:tcPr>
                  <w:tcW w:w="222"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48"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489" w:type="dxa"/>
                  <w:vAlign w:val="center"/>
                </w:tcPr>
                <w:p>
                  <w:pPr>
                    <w:keepNext w:val="0"/>
                    <w:keepLines w:val="0"/>
                    <w:pageBreakBefore w:val="0"/>
                    <w:kinsoku/>
                    <w:wordWrap/>
                    <w:overflowPunct/>
                    <w:topLinePunct w:val="0"/>
                    <w:bidi w:val="0"/>
                    <w:spacing w:line="240" w:lineRule="auto"/>
                    <w:ind w:firstLine="0" w:firstLineChars="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10%</w:t>
                  </w:r>
                </w:p>
              </w:tc>
              <w:tc>
                <w:tcPr>
                  <w:tcW w:w="228"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13" w:type="pct"/>
                  <w:vMerge w:val="continue"/>
                  <w:vAlign w:val="center"/>
                </w:tcPr>
                <w:p>
                  <w:pPr>
                    <w:keepNext w:val="0"/>
                    <w:keepLines w:val="0"/>
                    <w:pageBreakBefore w:val="0"/>
                    <w:kinsoku/>
                    <w:wordWrap/>
                    <w:overflowPunct/>
                    <w:topLinePunct w:val="0"/>
                    <w:autoSpaceDE w:val="0"/>
                    <w:autoSpaceDN w:val="0"/>
                    <w:bidi w:val="0"/>
                    <w:adjustRightInd w:val="0"/>
                    <w:spacing w:line="240" w:lineRule="auto"/>
                    <w:ind w:firstLine="0" w:firstLineChars="0"/>
                    <w:jc w:val="center"/>
                    <w:rPr>
                      <w:color w:val="000000" w:themeColor="text1"/>
                      <w:sz w:val="18"/>
                      <w:szCs w:val="18"/>
                      <w14:textFill>
                        <w14:solidFill>
                          <w14:schemeClr w14:val="tx1"/>
                        </w14:solidFill>
                      </w14:textFill>
                    </w:rPr>
                  </w:pPr>
                </w:p>
              </w:tc>
              <w:tc>
                <w:tcPr>
                  <w:tcW w:w="777" w:type="dxa"/>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27</w:t>
                  </w:r>
                </w:p>
              </w:tc>
              <w:tc>
                <w:tcPr>
                  <w:tcW w:w="259"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eastAsia="宋体"/>
                      <w:color w:val="000000" w:themeColor="text1"/>
                      <w:kern w:val="0"/>
                      <w:sz w:val="18"/>
                      <w:szCs w:val="18"/>
                      <w:lang w:val="en-US" w:eastAsia="zh-CN"/>
                      <w14:textFill>
                        <w14:solidFill>
                          <w14:schemeClr w14:val="tx1"/>
                        </w14:solidFill>
                      </w14:textFill>
                    </w:rPr>
                    <w:t>0.039</w:t>
                  </w:r>
                </w:p>
              </w:tc>
              <w:tc>
                <w:tcPr>
                  <w:tcW w:w="72" w:type="pct"/>
                  <w:vMerge w:val="continue"/>
                  <w:vAlign w:val="center"/>
                </w:tcPr>
                <w:p>
                  <w:pPr>
                    <w:keepNext w:val="0"/>
                    <w:keepLines w:val="0"/>
                    <w:pageBreakBefore w:val="0"/>
                    <w:kinsoku/>
                    <w:wordWrap/>
                    <w:overflowPunct/>
                    <w:topLinePunct w:val="0"/>
                    <w:autoSpaceDE w:val="0"/>
                    <w:autoSpaceDN w:val="0"/>
                    <w:bidi w:val="0"/>
                    <w:adjustRightInd w:val="0"/>
                    <w:spacing w:line="240" w:lineRule="auto"/>
                    <w:ind w:firstLine="0" w:firstLineChars="0"/>
                    <w:jc w:val="center"/>
                    <w:rPr>
                      <w:color w:val="000000" w:themeColor="text1"/>
                      <w:sz w:val="18"/>
                      <w:szCs w:val="18"/>
                      <w14:textFill>
                        <w14:solidFill>
                          <w14:schemeClr w14:val="tx1"/>
                        </w14:solidFill>
                      </w14:textFill>
                    </w:rPr>
                  </w:pPr>
                </w:p>
              </w:tc>
              <w:tc>
                <w:tcPr>
                  <w:tcW w:w="183"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334"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266"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93"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418"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408"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263"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b/>
                      <w:color w:val="000000" w:themeColor="text1"/>
                      <w:szCs w:val="18"/>
                      <w14:textFill>
                        <w14:solidFill>
                          <w14:schemeClr w14:val="tx1"/>
                        </w14:solidFill>
                      </w14:textFill>
                    </w:rPr>
                  </w:pPr>
                </w:p>
              </w:tc>
              <w:tc>
                <w:tcPr>
                  <w:tcW w:w="281"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outlineLvl w:val="2"/>
                    <w:rPr>
                      <w:rFonts w:hint="default" w:eastAsia="宋体"/>
                      <w:bCs/>
                      <w:snapToGrid w:val="0"/>
                      <w:color w:val="000000" w:themeColor="text1"/>
                      <w:sz w:val="18"/>
                      <w:szCs w:val="18"/>
                      <w:lang w:val="en-US" w:eastAsia="zh-CN"/>
                      <w14:textFill>
                        <w14:solidFill>
                          <w14:schemeClr w14:val="tx1"/>
                        </w14:solidFill>
                      </w14:textFill>
                    </w:rPr>
                  </w:pPr>
                  <w:r>
                    <w:rPr>
                      <w:rFonts w:hint="eastAsia"/>
                      <w:bCs/>
                      <w:snapToGrid w:val="0"/>
                      <w:color w:val="000000" w:themeColor="text1"/>
                      <w:sz w:val="18"/>
                      <w:szCs w:val="18"/>
                      <w:lang w:val="en-US" w:eastAsia="zh-CN"/>
                      <w14:textFill>
                        <w14:solidFill>
                          <w14:schemeClr w14:val="tx1"/>
                        </w14:solidFill>
                      </w14:textFill>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4" w:type="pct"/>
                  <w:vMerge w:val="continue"/>
                  <w:tcBorders>
                    <w:right w:val="single" w:color="000000" w:sz="6" w:space="0"/>
                  </w:tcBorders>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80" w:type="pct"/>
                  <w:vMerge w:val="continue"/>
                  <w:tcBorders>
                    <w:left w:val="single" w:color="000000" w:sz="6" w:space="0"/>
                  </w:tcBorders>
                  <w:vAlign w:val="center"/>
                </w:tcPr>
                <w:p>
                  <w:pPr>
                    <w:keepNext w:val="0"/>
                    <w:keepLines w:val="0"/>
                    <w:pageBreakBefore w:val="0"/>
                    <w:kinsoku/>
                    <w:wordWrap/>
                    <w:overflowPunct/>
                    <w:topLinePunct w:val="0"/>
                    <w:bidi w:val="0"/>
                    <w:spacing w:line="240" w:lineRule="auto"/>
                    <w:ind w:firstLine="0" w:firstLineChars="0"/>
                    <w:jc w:val="center"/>
                    <w:rPr>
                      <w:color w:val="000000" w:themeColor="text1"/>
                      <w:kern w:val="0"/>
                      <w:sz w:val="18"/>
                      <w:szCs w:val="18"/>
                      <w14:textFill>
                        <w14:solidFill>
                          <w14:schemeClr w14:val="tx1"/>
                        </w14:solidFill>
                      </w14:textFill>
                    </w:rPr>
                  </w:pPr>
                </w:p>
              </w:tc>
              <w:tc>
                <w:tcPr>
                  <w:tcW w:w="251" w:type="pct"/>
                  <w:tcBorders>
                    <w:left w:val="single" w:color="000000" w:sz="6" w:space="0"/>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SS</w:t>
                  </w:r>
                </w:p>
              </w:tc>
              <w:tc>
                <w:tcPr>
                  <w:tcW w:w="274"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color w:val="000000" w:themeColor="text1"/>
                      <w:kern w:val="0"/>
                      <w:sz w:val="18"/>
                      <w:szCs w:val="18"/>
                      <w14:textFill>
                        <w14:solidFill>
                          <w14:schemeClr w14:val="tx1"/>
                        </w14:solidFill>
                      </w14:textFill>
                    </w:rPr>
                    <w:t>250</w:t>
                  </w:r>
                </w:p>
              </w:tc>
              <w:tc>
                <w:tcPr>
                  <w:tcW w:w="253"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eastAsia="宋体"/>
                      <w:color w:val="000000" w:themeColor="text1"/>
                      <w:kern w:val="0"/>
                      <w:sz w:val="18"/>
                      <w:szCs w:val="18"/>
                      <w:lang w:val="en-US" w:eastAsia="zh-CN"/>
                      <w14:textFill>
                        <w14:solidFill>
                          <w14:schemeClr w14:val="tx1"/>
                        </w14:solidFill>
                      </w14:textFill>
                    </w:rPr>
                    <w:t>0.36</w:t>
                  </w:r>
                </w:p>
              </w:tc>
              <w:tc>
                <w:tcPr>
                  <w:tcW w:w="222"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48"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489" w:type="dxa"/>
                  <w:vAlign w:val="center"/>
                </w:tcPr>
                <w:p>
                  <w:pPr>
                    <w:keepNext w:val="0"/>
                    <w:keepLines w:val="0"/>
                    <w:pageBreakBefore w:val="0"/>
                    <w:kinsoku/>
                    <w:wordWrap/>
                    <w:overflowPunct/>
                    <w:topLinePunct w:val="0"/>
                    <w:bidi w:val="0"/>
                    <w:spacing w:line="240" w:lineRule="auto"/>
                    <w:ind w:firstLine="0" w:firstLineChars="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30%</w:t>
                  </w:r>
                </w:p>
              </w:tc>
              <w:tc>
                <w:tcPr>
                  <w:tcW w:w="228"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13" w:type="pct"/>
                  <w:vMerge w:val="continue"/>
                  <w:vAlign w:val="center"/>
                </w:tcPr>
                <w:p>
                  <w:pPr>
                    <w:keepNext w:val="0"/>
                    <w:keepLines w:val="0"/>
                    <w:pageBreakBefore w:val="0"/>
                    <w:kinsoku/>
                    <w:wordWrap/>
                    <w:overflowPunct/>
                    <w:topLinePunct w:val="0"/>
                    <w:autoSpaceDE w:val="0"/>
                    <w:autoSpaceDN w:val="0"/>
                    <w:bidi w:val="0"/>
                    <w:adjustRightInd w:val="0"/>
                    <w:spacing w:line="240" w:lineRule="auto"/>
                    <w:ind w:firstLine="0" w:firstLineChars="0"/>
                    <w:jc w:val="center"/>
                    <w:rPr>
                      <w:color w:val="000000" w:themeColor="text1"/>
                      <w:sz w:val="18"/>
                      <w:szCs w:val="18"/>
                      <w14:textFill>
                        <w14:solidFill>
                          <w14:schemeClr w14:val="tx1"/>
                        </w14:solidFill>
                      </w14:textFill>
                    </w:rPr>
                  </w:pPr>
                </w:p>
              </w:tc>
              <w:tc>
                <w:tcPr>
                  <w:tcW w:w="777" w:type="dxa"/>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175</w:t>
                  </w:r>
                </w:p>
              </w:tc>
              <w:tc>
                <w:tcPr>
                  <w:tcW w:w="259"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eastAsia="宋体"/>
                      <w:color w:val="000000" w:themeColor="text1"/>
                      <w:kern w:val="0"/>
                      <w:sz w:val="18"/>
                      <w:szCs w:val="18"/>
                      <w:lang w:val="en-US" w:eastAsia="zh-CN"/>
                      <w14:textFill>
                        <w14:solidFill>
                          <w14:schemeClr w14:val="tx1"/>
                        </w14:solidFill>
                      </w14:textFill>
                    </w:rPr>
                    <w:t>0.252</w:t>
                  </w:r>
                </w:p>
              </w:tc>
              <w:tc>
                <w:tcPr>
                  <w:tcW w:w="72" w:type="pct"/>
                  <w:vMerge w:val="continue"/>
                  <w:vAlign w:val="center"/>
                </w:tcPr>
                <w:p>
                  <w:pPr>
                    <w:keepNext w:val="0"/>
                    <w:keepLines w:val="0"/>
                    <w:pageBreakBefore w:val="0"/>
                    <w:kinsoku/>
                    <w:wordWrap/>
                    <w:overflowPunct/>
                    <w:topLinePunct w:val="0"/>
                    <w:autoSpaceDE w:val="0"/>
                    <w:autoSpaceDN w:val="0"/>
                    <w:bidi w:val="0"/>
                    <w:adjustRightInd w:val="0"/>
                    <w:spacing w:line="240" w:lineRule="auto"/>
                    <w:ind w:firstLine="0" w:firstLineChars="0"/>
                    <w:jc w:val="center"/>
                    <w:rPr>
                      <w:color w:val="000000" w:themeColor="text1"/>
                      <w:sz w:val="18"/>
                      <w:szCs w:val="18"/>
                      <w14:textFill>
                        <w14:solidFill>
                          <w14:schemeClr w14:val="tx1"/>
                        </w14:solidFill>
                      </w14:textFill>
                    </w:rPr>
                  </w:pPr>
                </w:p>
              </w:tc>
              <w:tc>
                <w:tcPr>
                  <w:tcW w:w="183"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334"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266"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93"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418"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408"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263"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b/>
                      <w:color w:val="000000" w:themeColor="text1"/>
                      <w:szCs w:val="18"/>
                      <w14:textFill>
                        <w14:solidFill>
                          <w14:schemeClr w14:val="tx1"/>
                        </w14:solidFill>
                      </w14:textFill>
                    </w:rPr>
                  </w:pPr>
                </w:p>
              </w:tc>
              <w:tc>
                <w:tcPr>
                  <w:tcW w:w="281"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outlineLvl w:val="2"/>
                    <w:rPr>
                      <w:rFonts w:hint="default" w:eastAsia="宋体"/>
                      <w:bCs/>
                      <w:snapToGrid w:val="0"/>
                      <w:color w:val="000000" w:themeColor="text1"/>
                      <w:sz w:val="18"/>
                      <w:szCs w:val="18"/>
                      <w:lang w:val="en-US" w:eastAsia="zh-CN"/>
                      <w14:textFill>
                        <w14:solidFill>
                          <w14:schemeClr w14:val="tx1"/>
                        </w14:solidFill>
                      </w14:textFill>
                    </w:rPr>
                  </w:pPr>
                  <w:r>
                    <w:rPr>
                      <w:rFonts w:hint="eastAsia" w:eastAsia="宋体"/>
                      <w:bCs/>
                      <w:snapToGrid w:val="0"/>
                      <w:color w:val="000000" w:themeColor="text1"/>
                      <w:sz w:val="18"/>
                      <w:szCs w:val="18"/>
                      <w:lang w:val="en-US" w:eastAsia="zh-CN"/>
                      <w14:textFill>
                        <w14:solidFill>
                          <w14:schemeClr w14:val="tx1"/>
                        </w14:solidFill>
                      </w14:textFill>
                    </w:rPr>
                    <w:t>400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84" w:type="pct"/>
                  <w:vMerge w:val="continue"/>
                  <w:tcBorders>
                    <w:right w:val="single" w:color="000000" w:sz="6" w:space="0"/>
                  </w:tcBorders>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80" w:type="pct"/>
                  <w:vMerge w:val="continue"/>
                  <w:tcBorders>
                    <w:left w:val="single" w:color="000000" w:sz="6" w:space="0"/>
                  </w:tcBorders>
                  <w:vAlign w:val="center"/>
                </w:tcPr>
                <w:p>
                  <w:pPr>
                    <w:keepNext w:val="0"/>
                    <w:keepLines w:val="0"/>
                    <w:pageBreakBefore w:val="0"/>
                    <w:kinsoku/>
                    <w:wordWrap/>
                    <w:overflowPunct/>
                    <w:topLinePunct w:val="0"/>
                    <w:bidi w:val="0"/>
                    <w:spacing w:line="240" w:lineRule="auto"/>
                    <w:ind w:firstLine="0" w:firstLineChars="0"/>
                    <w:jc w:val="center"/>
                    <w:rPr>
                      <w:color w:val="000000" w:themeColor="text1"/>
                      <w:kern w:val="0"/>
                      <w:sz w:val="18"/>
                      <w:szCs w:val="18"/>
                      <w14:textFill>
                        <w14:solidFill>
                          <w14:schemeClr w14:val="tx1"/>
                        </w14:solidFill>
                      </w14:textFill>
                    </w:rPr>
                  </w:pPr>
                </w:p>
              </w:tc>
              <w:tc>
                <w:tcPr>
                  <w:tcW w:w="251" w:type="pct"/>
                  <w:tcBorders>
                    <w:left w:val="single" w:color="000000" w:sz="6" w:space="0"/>
                  </w:tcBorders>
                  <w:vAlign w:val="center"/>
                </w:tcPr>
                <w:p>
                  <w:pPr>
                    <w:keepNext w:val="0"/>
                    <w:keepLines w:val="0"/>
                    <w:pageBreakBefore w:val="0"/>
                    <w:kinsoku/>
                    <w:wordWrap/>
                    <w:overflowPunct/>
                    <w:topLinePunct w:val="0"/>
                    <w:bidi w:val="0"/>
                    <w:adjustRightInd w:val="0"/>
                    <w:snapToGrid w:val="0"/>
                    <w:spacing w:line="240" w:lineRule="auto"/>
                    <w:ind w:firstLine="0" w:firstLineChars="0"/>
                    <w:jc w:val="center"/>
                    <w:rPr>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BOD</w:t>
                  </w:r>
                  <w:r>
                    <w:rPr>
                      <w:rFonts w:hint="eastAsia"/>
                      <w:color w:val="000000" w:themeColor="text1"/>
                      <w:kern w:val="0"/>
                      <w:sz w:val="18"/>
                      <w:szCs w:val="18"/>
                      <w:vertAlign w:val="subscript"/>
                      <w14:textFill>
                        <w14:solidFill>
                          <w14:schemeClr w14:val="tx1"/>
                        </w14:solidFill>
                      </w14:textFill>
                    </w:rPr>
                    <w:t>5</w:t>
                  </w:r>
                </w:p>
              </w:tc>
              <w:tc>
                <w:tcPr>
                  <w:tcW w:w="274"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rFonts w:hint="eastAsia"/>
                      <w:color w:val="000000" w:themeColor="text1"/>
                      <w:kern w:val="0"/>
                      <w:sz w:val="18"/>
                      <w:szCs w:val="18"/>
                      <w14:textFill>
                        <w14:solidFill>
                          <w14:schemeClr w14:val="tx1"/>
                        </w14:solidFill>
                      </w14:textFill>
                    </w:rPr>
                    <w:t>100</w:t>
                  </w:r>
                </w:p>
              </w:tc>
              <w:tc>
                <w:tcPr>
                  <w:tcW w:w="253"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eastAsia="宋体"/>
                      <w:color w:val="000000" w:themeColor="text1"/>
                      <w:kern w:val="0"/>
                      <w:sz w:val="18"/>
                      <w:szCs w:val="18"/>
                      <w:lang w:val="en-US" w:eastAsia="zh-CN"/>
                      <w14:textFill>
                        <w14:solidFill>
                          <w14:schemeClr w14:val="tx1"/>
                        </w14:solidFill>
                      </w14:textFill>
                    </w:rPr>
                    <w:t>0.144</w:t>
                  </w:r>
                </w:p>
              </w:tc>
              <w:tc>
                <w:tcPr>
                  <w:tcW w:w="222"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48"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489" w:type="dxa"/>
                  <w:vAlign w:val="center"/>
                </w:tcPr>
                <w:p>
                  <w:pPr>
                    <w:keepNext w:val="0"/>
                    <w:keepLines w:val="0"/>
                    <w:pageBreakBefore w:val="0"/>
                    <w:kinsoku/>
                    <w:wordWrap/>
                    <w:overflowPunct/>
                    <w:topLinePunct w:val="0"/>
                    <w:bidi w:val="0"/>
                    <w:spacing w:line="240" w:lineRule="auto"/>
                    <w:ind w:firstLine="0" w:firstLineChars="0"/>
                    <w:jc w:val="center"/>
                    <w:rPr>
                      <w:rFonts w:hint="default" w:eastAsia="宋体"/>
                      <w:color w:val="000000" w:themeColor="text1"/>
                      <w:sz w:val="18"/>
                      <w:szCs w:val="18"/>
                      <w:lang w:val="en-US"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3%</w:t>
                  </w:r>
                </w:p>
              </w:tc>
              <w:tc>
                <w:tcPr>
                  <w:tcW w:w="228"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213" w:type="pct"/>
                  <w:vMerge w:val="continue"/>
                  <w:vAlign w:val="center"/>
                </w:tcPr>
                <w:p>
                  <w:pPr>
                    <w:keepNext w:val="0"/>
                    <w:keepLines w:val="0"/>
                    <w:pageBreakBefore w:val="0"/>
                    <w:kinsoku/>
                    <w:wordWrap/>
                    <w:overflowPunct/>
                    <w:topLinePunct w:val="0"/>
                    <w:autoSpaceDE w:val="0"/>
                    <w:autoSpaceDN w:val="0"/>
                    <w:bidi w:val="0"/>
                    <w:adjustRightInd w:val="0"/>
                    <w:spacing w:line="240" w:lineRule="auto"/>
                    <w:ind w:firstLine="0" w:firstLineChars="0"/>
                    <w:jc w:val="center"/>
                    <w:rPr>
                      <w:color w:val="000000" w:themeColor="text1"/>
                      <w:sz w:val="18"/>
                      <w:szCs w:val="18"/>
                      <w14:textFill>
                        <w14:solidFill>
                          <w14:schemeClr w14:val="tx1"/>
                        </w14:solidFill>
                      </w14:textFill>
                    </w:rPr>
                  </w:pPr>
                </w:p>
              </w:tc>
              <w:tc>
                <w:tcPr>
                  <w:tcW w:w="777" w:type="dxa"/>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color w:val="000000" w:themeColor="text1"/>
                      <w:kern w:val="0"/>
                      <w:sz w:val="18"/>
                      <w:szCs w:val="18"/>
                      <w:lang w:val="en-US" w:eastAsia="zh-CN"/>
                      <w14:textFill>
                        <w14:solidFill>
                          <w14:schemeClr w14:val="tx1"/>
                        </w14:solidFill>
                      </w14:textFill>
                    </w:rPr>
                    <w:t>97</w:t>
                  </w:r>
                </w:p>
              </w:tc>
              <w:tc>
                <w:tcPr>
                  <w:tcW w:w="259"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textAlignment w:val="center"/>
                    <w:rPr>
                      <w:rFonts w:hint="default" w:eastAsia="宋体"/>
                      <w:color w:val="000000" w:themeColor="text1"/>
                      <w:kern w:val="0"/>
                      <w:sz w:val="18"/>
                      <w:szCs w:val="18"/>
                      <w:lang w:val="en-US" w:eastAsia="zh-CN"/>
                      <w14:textFill>
                        <w14:solidFill>
                          <w14:schemeClr w14:val="tx1"/>
                        </w14:solidFill>
                      </w14:textFill>
                    </w:rPr>
                  </w:pPr>
                  <w:r>
                    <w:rPr>
                      <w:rFonts w:hint="eastAsia" w:eastAsia="宋体"/>
                      <w:color w:val="000000" w:themeColor="text1"/>
                      <w:kern w:val="0"/>
                      <w:sz w:val="18"/>
                      <w:szCs w:val="18"/>
                      <w:lang w:val="en-US" w:eastAsia="zh-CN"/>
                      <w14:textFill>
                        <w14:solidFill>
                          <w14:schemeClr w14:val="tx1"/>
                        </w14:solidFill>
                      </w14:textFill>
                    </w:rPr>
                    <w:t>0.14</w:t>
                  </w:r>
                </w:p>
              </w:tc>
              <w:tc>
                <w:tcPr>
                  <w:tcW w:w="72" w:type="pct"/>
                  <w:vMerge w:val="continue"/>
                  <w:vAlign w:val="center"/>
                </w:tcPr>
                <w:p>
                  <w:pPr>
                    <w:keepNext w:val="0"/>
                    <w:keepLines w:val="0"/>
                    <w:pageBreakBefore w:val="0"/>
                    <w:kinsoku/>
                    <w:wordWrap/>
                    <w:overflowPunct/>
                    <w:topLinePunct w:val="0"/>
                    <w:autoSpaceDE w:val="0"/>
                    <w:autoSpaceDN w:val="0"/>
                    <w:bidi w:val="0"/>
                    <w:adjustRightInd w:val="0"/>
                    <w:spacing w:line="240" w:lineRule="auto"/>
                    <w:ind w:firstLine="0" w:firstLineChars="0"/>
                    <w:jc w:val="center"/>
                    <w:rPr>
                      <w:color w:val="000000" w:themeColor="text1"/>
                      <w:sz w:val="18"/>
                      <w:szCs w:val="18"/>
                      <w14:textFill>
                        <w14:solidFill>
                          <w14:schemeClr w14:val="tx1"/>
                        </w14:solidFill>
                      </w14:textFill>
                    </w:rPr>
                  </w:pPr>
                </w:p>
              </w:tc>
              <w:tc>
                <w:tcPr>
                  <w:tcW w:w="183"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334"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266"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193" w:type="pct"/>
                  <w:vMerge w:val="continue"/>
                  <w:vAlign w:val="center"/>
                </w:tcPr>
                <w:p>
                  <w:pPr>
                    <w:keepNext w:val="0"/>
                    <w:keepLines w:val="0"/>
                    <w:pageBreakBefore w:val="0"/>
                    <w:kinsoku/>
                    <w:wordWrap/>
                    <w:overflowPunct/>
                    <w:topLinePunct w:val="0"/>
                    <w:bidi w:val="0"/>
                    <w:spacing w:line="240" w:lineRule="auto"/>
                    <w:ind w:firstLine="0" w:firstLineChars="0"/>
                    <w:jc w:val="center"/>
                    <w:rPr>
                      <w:color w:val="000000" w:themeColor="text1"/>
                      <w:sz w:val="18"/>
                      <w:szCs w:val="18"/>
                      <w14:textFill>
                        <w14:solidFill>
                          <w14:schemeClr w14:val="tx1"/>
                        </w14:solidFill>
                      </w14:textFill>
                    </w:rPr>
                  </w:pPr>
                </w:p>
              </w:tc>
              <w:tc>
                <w:tcPr>
                  <w:tcW w:w="418"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408"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color w:val="000000" w:themeColor="text1"/>
                      <w:szCs w:val="18"/>
                      <w14:textFill>
                        <w14:solidFill>
                          <w14:schemeClr w14:val="tx1"/>
                        </w14:solidFill>
                      </w14:textFill>
                    </w:rPr>
                  </w:pPr>
                </w:p>
              </w:tc>
              <w:tc>
                <w:tcPr>
                  <w:tcW w:w="263" w:type="pct"/>
                  <w:vMerge w:val="continue"/>
                  <w:vAlign w:val="center"/>
                </w:tcPr>
                <w:p>
                  <w:pPr>
                    <w:pStyle w:val="9"/>
                    <w:keepNext w:val="0"/>
                    <w:keepLines w:val="0"/>
                    <w:pageBreakBefore w:val="0"/>
                    <w:kinsoku/>
                    <w:wordWrap/>
                    <w:overflowPunct/>
                    <w:topLinePunct w:val="0"/>
                    <w:bidi w:val="0"/>
                    <w:spacing w:before="0" w:after="0" w:line="240" w:lineRule="auto"/>
                    <w:ind w:right="0" w:firstLine="0" w:firstLineChars="0"/>
                    <w:jc w:val="center"/>
                    <w:rPr>
                      <w:b/>
                      <w:color w:val="000000" w:themeColor="text1"/>
                      <w:szCs w:val="18"/>
                      <w14:textFill>
                        <w14:solidFill>
                          <w14:schemeClr w14:val="tx1"/>
                        </w14:solidFill>
                      </w14:textFill>
                    </w:rPr>
                  </w:pPr>
                </w:p>
              </w:tc>
              <w:tc>
                <w:tcPr>
                  <w:tcW w:w="281" w:type="pct"/>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outlineLvl w:val="2"/>
                    <w:rPr>
                      <w:rFonts w:hint="default" w:eastAsia="宋体"/>
                      <w:bCs/>
                      <w:snapToGrid w:val="0"/>
                      <w:color w:val="000000" w:themeColor="text1"/>
                      <w:sz w:val="18"/>
                      <w:szCs w:val="18"/>
                      <w:lang w:val="en-US" w:eastAsia="zh-CN"/>
                      <w14:textFill>
                        <w14:solidFill>
                          <w14:schemeClr w14:val="tx1"/>
                        </w14:solidFill>
                      </w14:textFill>
                    </w:rPr>
                  </w:pPr>
                  <w:r>
                    <w:rPr>
                      <w:rFonts w:hint="eastAsia" w:eastAsia="宋体"/>
                      <w:bCs/>
                      <w:snapToGrid w:val="0"/>
                      <w:color w:val="000000" w:themeColor="text1"/>
                      <w:sz w:val="18"/>
                      <w:szCs w:val="18"/>
                      <w:lang w:val="en-US" w:eastAsia="zh-CN"/>
                      <w14:textFill>
                        <w14:solidFill>
                          <w14:schemeClr w14:val="tx1"/>
                        </w14:solidFill>
                      </w14:textFill>
                    </w:rPr>
                    <w:t>350</w:t>
                  </w:r>
                </w:p>
              </w:tc>
            </w:tr>
          </w:tbl>
          <w:p>
            <w:pPr>
              <w:pStyle w:val="26"/>
              <w:spacing w:line="440" w:lineRule="exact"/>
              <w:ind w:firstLine="482" w:firstLineChars="200"/>
              <w:jc w:val="both"/>
              <w:rPr>
                <w:rFonts w:hint="eastAsia" w:ascii="Times New Roman" w:cs="Times New Roman"/>
                <w:b/>
                <w:bCs/>
                <w:color w:val="000000" w:themeColor="text1"/>
                <w:kern w:val="2"/>
                <w14:textFill>
                  <w14:solidFill>
                    <w14:schemeClr w14:val="tx1"/>
                  </w14:solidFill>
                </w14:textFill>
              </w:rPr>
            </w:pPr>
            <w:r>
              <w:rPr>
                <w:rFonts w:hint="eastAsia" w:ascii="Times New Roman" w:cs="Times New Roman"/>
                <w:b/>
                <w:bCs/>
                <w:color w:val="000000" w:themeColor="text1"/>
                <w:kern w:val="2"/>
                <w14:textFill>
                  <w14:solidFill>
                    <w14:schemeClr w14:val="tx1"/>
                  </w14:solidFill>
                </w14:textFill>
              </w:rPr>
              <w:t>2.1废水源强情况</w:t>
            </w:r>
          </w:p>
          <w:p>
            <w:pPr>
              <w:pStyle w:val="49"/>
              <w:spacing w:line="440" w:lineRule="exact"/>
              <w:ind w:firstLine="48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FF"/>
              </w:rPr>
              <w:t>本项目</w:t>
            </w:r>
            <w:r>
              <w:rPr>
                <w:rFonts w:hint="eastAsia" w:ascii="Times New Roman" w:hAnsi="Times New Roman" w:cs="Times New Roman"/>
                <w:color w:val="0000FF"/>
                <w:lang w:eastAsia="zh-CN"/>
              </w:rPr>
              <w:t>车间地面清洁方式为清扫，不冲洗。</w:t>
            </w:r>
            <w:r>
              <w:rPr>
                <w:rFonts w:ascii="Times New Roman" w:hAnsi="Times New Roman" w:cs="Times New Roman"/>
                <w:color w:val="000000" w:themeColor="text1"/>
                <w14:textFill>
                  <w14:solidFill>
                    <w14:schemeClr w14:val="tx1"/>
                  </w14:solidFill>
                </w14:textFill>
              </w:rPr>
              <w:t>主要</w:t>
            </w:r>
            <w:r>
              <w:rPr>
                <w:rFonts w:hint="eastAsia" w:ascii="Times New Roman" w:hAnsi="Times New Roman" w:cs="Times New Roman"/>
                <w:color w:val="000000" w:themeColor="text1"/>
                <w:lang w:eastAsia="zh-CN"/>
                <w14:textFill>
                  <w14:solidFill>
                    <w14:schemeClr w14:val="tx1"/>
                  </w14:solidFill>
                </w14:textFill>
              </w:rPr>
              <w:t>废水产生</w:t>
            </w:r>
            <w:r>
              <w:rPr>
                <w:rFonts w:ascii="Times New Roman" w:hAnsi="Times New Roman" w:cs="Times New Roman"/>
                <w:color w:val="000000" w:themeColor="text1"/>
                <w14:textFill>
                  <w14:solidFill>
                    <w14:schemeClr w14:val="tx1"/>
                  </w14:solidFill>
                </w14:textFill>
              </w:rPr>
              <w:t>为员工生活污水，员工</w:t>
            </w:r>
            <w:r>
              <w:rPr>
                <w:rFonts w:hint="eastAsia" w:ascii="Times New Roman" w:hAnsi="Times New Roman" w:cs="Times New Roman"/>
                <w:color w:val="000000" w:themeColor="text1"/>
                <w:lang w:val="en-US" w:eastAsia="zh-CN"/>
                <w14:textFill>
                  <w14:solidFill>
                    <w14:schemeClr w14:val="tx1"/>
                  </w14:solidFill>
                </w14:textFill>
              </w:rPr>
              <w:t>50</w:t>
            </w:r>
            <w:r>
              <w:rPr>
                <w:rFonts w:ascii="Times New Roman" w:hAnsi="Times New Roman" w:cs="Times New Roman"/>
                <w:color w:val="000000" w:themeColor="text1"/>
                <w14:textFill>
                  <w14:solidFill>
                    <w14:schemeClr w14:val="tx1"/>
                  </w14:solidFill>
                </w14:textFill>
              </w:rPr>
              <w:t>人，年工作300天，职工用水量以</w:t>
            </w:r>
            <w:r>
              <w:rPr>
                <w:rFonts w:hint="eastAsia" w:ascii="Times New Roman" w:hAnsi="Times New Roman" w:cs="Times New Roman"/>
                <w:color w:val="000000" w:themeColor="text1"/>
                <w:lang w:val="en-US" w:eastAsia="zh-CN"/>
                <w14:textFill>
                  <w14:solidFill>
                    <w14:schemeClr w14:val="tx1"/>
                  </w14:solidFill>
                </w14:textFill>
              </w:rPr>
              <w:t>12</w:t>
            </w:r>
            <w:r>
              <w:rPr>
                <w:rFonts w:ascii="Times New Roman" w:hAnsi="Times New Roman" w:cs="Times New Roman"/>
                <w:color w:val="000000" w:themeColor="text1"/>
                <w14:textFill>
                  <w14:solidFill>
                    <w14:schemeClr w14:val="tx1"/>
                  </w14:solidFill>
                </w14:textFill>
              </w:rPr>
              <w:t>0L/d·人计，则生活办公用水量为</w:t>
            </w:r>
            <w:r>
              <w:rPr>
                <w:rFonts w:hint="eastAsia" w:ascii="Times New Roman" w:hAnsi="Times New Roman" w:cs="Times New Roman"/>
                <w:color w:val="000000" w:themeColor="text1"/>
                <w:lang w:val="en-US" w:eastAsia="zh-CN"/>
                <w14:textFill>
                  <w14:solidFill>
                    <w14:schemeClr w14:val="tx1"/>
                  </w14:solidFill>
                </w14:textFill>
              </w:rPr>
              <w:t>1800</w:t>
            </w:r>
            <w:r>
              <w:rPr>
                <w:rFonts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/a。产污系数以0.80计，污水产生量为</w:t>
            </w:r>
            <w:r>
              <w:rPr>
                <w:rFonts w:hint="eastAsia" w:ascii="Times New Roman" w:hAnsi="Times New Roman" w:cs="Times New Roman"/>
                <w:color w:val="000000" w:themeColor="text1"/>
                <w:lang w:val="en-US" w:eastAsia="zh-CN"/>
                <w14:textFill>
                  <w14:solidFill>
                    <w14:schemeClr w14:val="tx1"/>
                  </w14:solidFill>
                </w14:textFill>
              </w:rPr>
              <w:t>1440</w:t>
            </w:r>
            <w:r>
              <w:rPr>
                <w:rFonts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/a。污水中主要污染物有COD</w:t>
            </w:r>
            <w:r>
              <w:rPr>
                <w:rFonts w:ascii="Times New Roman" w:hAnsi="Times New Roman" w:cs="Times New Roman"/>
                <w:color w:val="000000" w:themeColor="text1"/>
                <w:vertAlign w:val="subscript"/>
                <w14:textFill>
                  <w14:solidFill>
                    <w14:schemeClr w14:val="tx1"/>
                  </w14:solidFill>
                </w14:textFill>
              </w:rPr>
              <w:t>Cr</w:t>
            </w:r>
            <w:r>
              <w:rPr>
                <w:rFonts w:ascii="Times New Roman" w:hAnsi="Times New Roman" w:cs="Times New Roman"/>
                <w:color w:val="000000" w:themeColor="text1"/>
                <w14:textFill>
                  <w14:solidFill>
                    <w14:schemeClr w14:val="tx1"/>
                  </w14:solidFill>
                </w14:textFill>
              </w:rPr>
              <w:t>、BOD</w:t>
            </w:r>
            <w:r>
              <w:rPr>
                <w:rFonts w:ascii="Times New Roman" w:hAnsi="Times New Roman" w:cs="Times New Roman"/>
                <w:color w:val="000000" w:themeColor="text1"/>
                <w:vertAlign w:val="subscript"/>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、SS、NH</w:t>
            </w:r>
            <w:r>
              <w:rPr>
                <w:rFonts w:ascii="Times New Roman" w:hAnsi="Times New Roman" w:cs="Times New Roman"/>
                <w:color w:val="000000" w:themeColor="text1"/>
                <w:vertAlign w:val="sub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-N，其产生浓度分别为350mg/L、100mg/L、250mg/L、30mg/L，污染物产生量为COD</w:t>
            </w:r>
            <w:r>
              <w:rPr>
                <w:rFonts w:ascii="Times New Roman" w:hAnsi="Times New Roman" w:cs="Times New Roman"/>
                <w:color w:val="000000" w:themeColor="text1"/>
                <w:vertAlign w:val="subscript"/>
                <w14:textFill>
                  <w14:solidFill>
                    <w14:schemeClr w14:val="tx1"/>
                  </w14:solidFill>
                </w14:textFill>
              </w:rPr>
              <w:t>Cr</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0.504</w:t>
            </w:r>
            <w:r>
              <w:rPr>
                <w:rFonts w:ascii="Times New Roman" w:hAnsi="Times New Roman" w:cs="Times New Roman"/>
                <w:color w:val="000000" w:themeColor="text1"/>
                <w14:textFill>
                  <w14:solidFill>
                    <w14:schemeClr w14:val="tx1"/>
                  </w14:solidFill>
                </w14:textFill>
              </w:rPr>
              <w:t>t/a、NH</w:t>
            </w:r>
            <w:r>
              <w:rPr>
                <w:rFonts w:ascii="Times New Roman" w:hAnsi="Times New Roman" w:cs="Times New Roman"/>
                <w:color w:val="000000" w:themeColor="text1"/>
                <w:vertAlign w:val="sub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-N：</w:t>
            </w:r>
            <w:r>
              <w:rPr>
                <w:rFonts w:hint="eastAsia" w:ascii="Times New Roman" w:hAnsi="Times New Roman" w:cs="Times New Roman"/>
                <w:color w:val="000000" w:themeColor="text1"/>
                <w:lang w:val="en-US" w:eastAsia="zh-CN"/>
                <w14:textFill>
                  <w14:solidFill>
                    <w14:schemeClr w14:val="tx1"/>
                  </w14:solidFill>
                </w14:textFill>
              </w:rPr>
              <w:t>0.043</w:t>
            </w:r>
            <w:r>
              <w:rPr>
                <w:rFonts w:ascii="Times New Roman" w:hAnsi="Times New Roman" w:cs="Times New Roman"/>
                <w:color w:val="000000" w:themeColor="text1"/>
                <w14:textFill>
                  <w14:solidFill>
                    <w14:schemeClr w14:val="tx1"/>
                  </w14:solidFill>
                </w14:textFill>
              </w:rPr>
              <w:t>t/a、 BOD</w:t>
            </w:r>
            <w:r>
              <w:rPr>
                <w:rFonts w:ascii="Times New Roman" w:hAnsi="Times New Roman" w:cs="Times New Roman"/>
                <w:color w:val="000000" w:themeColor="text1"/>
                <w:vertAlign w:val="subscript"/>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0.144</w:t>
            </w:r>
            <w:r>
              <w:rPr>
                <w:rFonts w:ascii="Times New Roman" w:hAnsi="Times New Roman" w:cs="Times New Roman"/>
                <w:color w:val="000000" w:themeColor="text1"/>
                <w14:textFill>
                  <w14:solidFill>
                    <w14:schemeClr w14:val="tx1"/>
                  </w14:solidFill>
                </w14:textFill>
              </w:rPr>
              <w:t>t/a 、SS：</w:t>
            </w:r>
            <w:r>
              <w:rPr>
                <w:rFonts w:hint="eastAsia" w:ascii="Times New Roman" w:hAnsi="Times New Roman" w:cs="Times New Roman"/>
                <w:color w:val="000000" w:themeColor="text1"/>
                <w:lang w:val="en-US" w:eastAsia="zh-CN"/>
                <w14:textFill>
                  <w14:solidFill>
                    <w14:schemeClr w14:val="tx1"/>
                  </w14:solidFill>
                </w14:textFill>
              </w:rPr>
              <w:t>0.36</w:t>
            </w:r>
            <w:r>
              <w:rPr>
                <w:rFonts w:ascii="Times New Roman" w:hAnsi="Times New Roman" w:cs="Times New Roman"/>
                <w:color w:val="000000" w:themeColor="text1"/>
                <w14:textFill>
                  <w14:solidFill>
                    <w14:schemeClr w14:val="tx1"/>
                  </w14:solidFill>
                </w14:textFill>
              </w:rPr>
              <w:t>t/a。</w:t>
            </w:r>
          </w:p>
          <w:p>
            <w:pPr>
              <w:pStyle w:val="49"/>
              <w:spacing w:line="440" w:lineRule="exact"/>
              <w:ind w:firstLine="480"/>
              <w:rPr>
                <w:rFonts w:hint="eastAsia" w:ascii="Times New Roman" w:hAnsi="Times New Roman" w:cs="Times New Roman"/>
                <w:color w:val="000000" w:themeColor="text1"/>
                <w:lang w:eastAsia="zh-CN"/>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本项目外排废水为生活污水，</w:t>
            </w:r>
            <w:r>
              <w:rPr>
                <w:rFonts w:hint="eastAsia" w:ascii="Times New Roman" w:hAnsi="Times New Roman" w:cs="Times New Roman"/>
                <w:color w:val="000000" w:themeColor="text1"/>
                <w:lang w:eastAsia="zh-CN"/>
                <w14:textFill>
                  <w14:solidFill>
                    <w14:schemeClr w14:val="tx1"/>
                  </w14:solidFill>
                </w14:textFill>
              </w:rPr>
              <w:t>生活污水经化粪池处理</w:t>
            </w:r>
            <w:r>
              <w:rPr>
                <w:rFonts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sz w:val="24"/>
              </w:rPr>
              <w:t>达到</w:t>
            </w:r>
            <w:r>
              <w:rPr>
                <w:rFonts w:hint="eastAsia" w:ascii="Times New Roman" w:hAnsi="Times New Roman" w:cs="Times New Roman"/>
                <w:color w:val="000000"/>
                <w:sz w:val="24"/>
                <w:lang w:eastAsia="zh-CN"/>
              </w:rPr>
              <w:t>婺源县城西（工业园区）污水处理厂纳管标准（</w:t>
            </w:r>
            <w:r>
              <w:rPr>
                <w:rFonts w:hint="default" w:ascii="Times New Roman" w:hAnsi="Times New Roman" w:cs="Times New Roman"/>
                <w:color w:val="000000"/>
                <w:sz w:val="24"/>
              </w:rPr>
              <w:t>《污水综合排放标准》（GB8978-1996）</w:t>
            </w:r>
            <w:r>
              <w:rPr>
                <w:rFonts w:hint="eastAsia" w:ascii="Times New Roman" w:hAnsi="Times New Roman" w:cs="Times New Roman"/>
                <w:color w:val="000000"/>
                <w:sz w:val="24"/>
                <w:lang w:eastAsia="zh-CN"/>
              </w:rPr>
              <w:t>三</w:t>
            </w:r>
            <w:r>
              <w:rPr>
                <w:rFonts w:hint="default" w:ascii="Times New Roman" w:hAnsi="Times New Roman" w:cs="Times New Roman"/>
                <w:color w:val="000000"/>
                <w:sz w:val="24"/>
              </w:rPr>
              <w:t>级标准</w:t>
            </w:r>
            <w:r>
              <w:rPr>
                <w:rFonts w:hint="eastAsia" w:ascii="Times New Roman" w:hAnsi="Times New Roman" w:cs="Times New Roman"/>
                <w:color w:val="000000"/>
                <w:sz w:val="24"/>
                <w:lang w:eastAsia="zh-CN"/>
              </w:rPr>
              <w:t>）</w:t>
            </w:r>
            <w:r>
              <w:rPr>
                <w:rFonts w:hint="default" w:ascii="Times New Roman" w:hAnsi="Times New Roman" w:cs="Times New Roman"/>
                <w:color w:val="000000"/>
                <w:sz w:val="24"/>
              </w:rPr>
              <w:t>后</w:t>
            </w:r>
            <w:r>
              <w:rPr>
                <w:rFonts w:hint="eastAsia" w:ascii="Times New Roman" w:hAnsi="Times New Roman" w:cs="Times New Roman"/>
                <w:color w:val="000000"/>
                <w:sz w:val="24"/>
                <w:lang w:eastAsia="zh-CN"/>
              </w:rPr>
              <w:t>排入园区污水管网进入婺源县城西（工业园区）污水处理厂处理，处理后的尾水达到《城镇污水处理厂污染物排放标准》（</w:t>
            </w:r>
            <w:r>
              <w:rPr>
                <w:rFonts w:hint="eastAsia" w:ascii="Times New Roman" w:hAnsi="Times New Roman" w:cs="Times New Roman"/>
                <w:color w:val="000000"/>
                <w:sz w:val="24"/>
                <w:lang w:val="en-US" w:eastAsia="zh-CN"/>
              </w:rPr>
              <w:t>GB18918-2002</w:t>
            </w:r>
            <w:r>
              <w:rPr>
                <w:rFonts w:hint="eastAsia" w:ascii="Times New Roman" w:hAnsi="Times New Roman" w:cs="Times New Roman"/>
                <w:color w:val="000000"/>
                <w:sz w:val="24"/>
                <w:lang w:eastAsia="zh-CN"/>
              </w:rPr>
              <w:t>）一级</w:t>
            </w:r>
            <w:r>
              <w:rPr>
                <w:rFonts w:hint="eastAsia" w:ascii="Times New Roman" w:hAnsi="Times New Roman" w:cs="Times New Roman"/>
                <w:color w:val="000000"/>
                <w:sz w:val="24"/>
                <w:lang w:val="en-US" w:eastAsia="zh-CN"/>
              </w:rPr>
              <w:t>A标准后排放</w:t>
            </w:r>
            <w:r>
              <w:rPr>
                <w:rFonts w:ascii="Times New Roman" w:hAnsi="Times New Roman" w:cs="Times New Roman"/>
                <w:color w:val="000000" w:themeColor="text1"/>
                <w14:textFill>
                  <w14:solidFill>
                    <w14:schemeClr w14:val="tx1"/>
                  </w14:solidFill>
                </w14:textFill>
              </w:rPr>
              <w:t>。本项目外排废水排放总量为</w:t>
            </w:r>
            <w:r>
              <w:rPr>
                <w:rFonts w:hint="eastAsia" w:ascii="Times New Roman" w:hAnsi="Times New Roman" w:cs="Times New Roman"/>
                <w:color w:val="000000" w:themeColor="text1"/>
                <w:lang w:val="en-US" w:eastAsia="zh-CN"/>
                <w14:textFill>
                  <w14:solidFill>
                    <w14:schemeClr w14:val="tx1"/>
                  </w14:solidFill>
                </w14:textFill>
              </w:rPr>
              <w:t>1440</w:t>
            </w:r>
            <w:r>
              <w:rPr>
                <w:rFonts w:ascii="Times New Roman" w:hAnsi="Times New Roman" w:cs="Times New Roman"/>
                <w:color w:val="000000" w:themeColor="text1"/>
                <w14:textFill>
                  <w14:solidFill>
                    <w14:schemeClr w14:val="tx1"/>
                  </w14:solidFill>
                </w14:textFill>
              </w:rPr>
              <w:t>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/a，COD</w:t>
            </w:r>
            <w:r>
              <w:rPr>
                <w:rFonts w:ascii="Times New Roman" w:hAnsi="Times New Roman" w:cs="Times New Roman"/>
                <w:color w:val="000000" w:themeColor="text1"/>
                <w:vertAlign w:val="subscript"/>
                <w14:textFill>
                  <w14:solidFill>
                    <w14:schemeClr w14:val="tx1"/>
                  </w14:solidFill>
                </w14:textFill>
              </w:rPr>
              <w:t>Cr</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0.072</w:t>
            </w:r>
            <w:r>
              <w:rPr>
                <w:rFonts w:ascii="Times New Roman" w:hAnsi="Times New Roman" w:cs="Times New Roman"/>
                <w:color w:val="000000" w:themeColor="text1"/>
                <w14:textFill>
                  <w14:solidFill>
                    <w14:schemeClr w14:val="tx1"/>
                  </w14:solidFill>
                </w14:textFill>
              </w:rPr>
              <w:t>t/a、NH</w:t>
            </w:r>
            <w:r>
              <w:rPr>
                <w:rFonts w:ascii="Times New Roman" w:hAnsi="Times New Roman" w:cs="Times New Roman"/>
                <w:color w:val="000000" w:themeColor="text1"/>
                <w:vertAlign w:val="sub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-N：</w:t>
            </w:r>
            <w:r>
              <w:rPr>
                <w:rFonts w:hint="eastAsia" w:ascii="Times New Roman" w:hAnsi="Times New Roman" w:cs="Times New Roman"/>
                <w:color w:val="000000" w:themeColor="text1"/>
                <w:lang w:val="en-US" w:eastAsia="zh-CN"/>
                <w14:textFill>
                  <w14:solidFill>
                    <w14:schemeClr w14:val="tx1"/>
                  </w14:solidFill>
                </w14:textFill>
              </w:rPr>
              <w:t>0.007</w:t>
            </w:r>
            <w:r>
              <w:rPr>
                <w:rFonts w:ascii="Times New Roman" w:hAnsi="Times New Roman" w:cs="Times New Roman"/>
                <w:color w:val="000000" w:themeColor="text1"/>
                <w14:textFill>
                  <w14:solidFill>
                    <w14:schemeClr w14:val="tx1"/>
                  </w14:solidFill>
                </w14:textFill>
              </w:rPr>
              <w:t>t/a、BOD</w:t>
            </w:r>
            <w:r>
              <w:rPr>
                <w:rFonts w:ascii="Times New Roman" w:hAnsi="Times New Roman" w:cs="Times New Roman"/>
                <w:color w:val="000000" w:themeColor="text1"/>
                <w:vertAlign w:val="subscript"/>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0.014</w:t>
            </w:r>
            <w:r>
              <w:rPr>
                <w:rFonts w:ascii="Times New Roman" w:hAnsi="Times New Roman" w:cs="Times New Roman"/>
                <w:color w:val="000000" w:themeColor="text1"/>
                <w14:textFill>
                  <w14:solidFill>
                    <w14:schemeClr w14:val="tx1"/>
                  </w14:solidFill>
                </w14:textFill>
              </w:rPr>
              <w:t>t/a、SS：</w:t>
            </w:r>
            <w:r>
              <w:rPr>
                <w:rFonts w:hint="eastAsia" w:ascii="Times New Roman" w:hAnsi="Times New Roman" w:cs="Times New Roman"/>
                <w:color w:val="000000" w:themeColor="text1"/>
                <w:lang w:val="en-US" w:eastAsia="zh-CN"/>
                <w14:textFill>
                  <w14:solidFill>
                    <w14:schemeClr w14:val="tx1"/>
                  </w14:solidFill>
                </w14:textFill>
              </w:rPr>
              <w:t>0.014</w:t>
            </w:r>
            <w:r>
              <w:rPr>
                <w:rFonts w:ascii="Times New Roman" w:hAnsi="Times New Roman" w:cs="Times New Roman"/>
                <w:color w:val="000000" w:themeColor="text1"/>
                <w14:textFill>
                  <w14:solidFill>
                    <w14:schemeClr w14:val="tx1"/>
                  </w14:solidFill>
                </w14:textFill>
              </w:rPr>
              <w:t>t/a</w:t>
            </w:r>
            <w:r>
              <w:rPr>
                <w:rFonts w:hint="eastAsia" w:ascii="Times New Roman" w:hAnsi="Times New Roman" w:cs="Times New Roman"/>
                <w:color w:val="000000" w:themeColor="text1"/>
                <w:lang w:eastAsia="zh-CN"/>
                <w14:textFill>
                  <w14:solidFill>
                    <w14:schemeClr w14:val="tx1"/>
                  </w14:solidFill>
                </w14:textFill>
              </w:rPr>
              <w:t>。</w:t>
            </w:r>
          </w:p>
          <w:p>
            <w:pPr>
              <w:pStyle w:val="49"/>
              <w:spacing w:line="440" w:lineRule="exact"/>
              <w:ind w:firstLine="480"/>
              <w:rPr>
                <w:rFonts w:hint="eastAsia" w:ascii="Times New Roman" w:cs="Times New Roman"/>
                <w:b/>
                <w:bCs/>
                <w:color w:val="000000" w:themeColor="text1"/>
                <w:kern w:val="2"/>
                <w14:textFill>
                  <w14:solidFill>
                    <w14:schemeClr w14:val="tx1"/>
                  </w14:solidFill>
                </w14:textFill>
              </w:rPr>
            </w:pPr>
          </w:p>
        </w:tc>
      </w:tr>
    </w:tbl>
    <w:p>
      <w:pPr>
        <w:pStyle w:val="17"/>
        <w:ind w:firstLine="600"/>
        <w:jc w:val="center"/>
        <w:rPr>
          <w:rFonts w:hint="default" w:ascii="Times New Roman" w:hAnsi="Times New Roman" w:eastAsia="黑体" w:cs="Times New Roman"/>
          <w:snapToGrid w:val="0"/>
          <w:sz w:val="30"/>
          <w:szCs w:val="30"/>
        </w:rPr>
        <w:sectPr>
          <w:pgSz w:w="16838" w:h="11906" w:orient="landscape"/>
          <w:pgMar w:top="1083" w:right="1440" w:bottom="1083" w:left="1440" w:header="851" w:footer="851" w:gutter="0"/>
          <w:pgBorders>
            <w:top w:val="none" w:sz="0" w:space="0"/>
            <w:left w:val="none" w:sz="0" w:space="0"/>
            <w:bottom w:val="none" w:sz="0" w:space="0"/>
            <w:right w:val="none" w:sz="0" w:space="0"/>
          </w:pgBorders>
          <w:cols w:space="720" w:num="1"/>
          <w:docGrid w:linePitch="312" w:charSpace="0"/>
        </w:sect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7" w:type="dxa"/>
            <w:shd w:val="clear" w:color="auto" w:fill="auto"/>
          </w:tcPr>
          <w:p>
            <w:pPr>
              <w:pStyle w:val="17"/>
              <w:ind w:firstLine="600"/>
              <w:jc w:val="center"/>
              <w:rPr>
                <w:rFonts w:hint="default"/>
              </w:rPr>
            </w:pPr>
            <w:bookmarkStart w:id="8" w:name="_Toc71538800"/>
          </w:p>
          <w:p>
            <w:pPr>
              <w:bidi w:val="0"/>
              <w:rPr>
                <w:rFonts w:hint="default"/>
              </w:rPr>
            </w:pP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运</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营</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期</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环</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境</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影</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响</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和</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保</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护</w:t>
            </w:r>
          </w:p>
          <w:p>
            <w:pPr>
              <w:adjustRightInd w:val="0"/>
              <w:snapToGrid w:val="0"/>
              <w:ind w:firstLine="0" w:firstLineChars="0"/>
              <w:jc w:val="center"/>
              <w:rPr>
                <w:rFonts w:hint="default" w:ascii="Times New Roman" w:hAnsi="Times New Roman" w:cs="Times New Roman"/>
                <w:bCs/>
                <w:szCs w:val="21"/>
              </w:rPr>
            </w:pPr>
            <w:r>
              <w:rPr>
                <w:rFonts w:hint="default" w:ascii="Times New Roman" w:hAnsi="Times New Roman" w:cs="Times New Roman"/>
                <w:bCs/>
                <w:szCs w:val="21"/>
              </w:rPr>
              <w:t>措</w:t>
            </w:r>
          </w:p>
          <w:p>
            <w:pPr>
              <w:bidi w:val="0"/>
              <w:ind w:left="0" w:leftChars="0" w:firstLine="0" w:firstLineChars="0"/>
              <w:jc w:val="left"/>
              <w:rPr>
                <w:rFonts w:hint="default"/>
              </w:rPr>
            </w:pPr>
            <w:r>
              <w:rPr>
                <w:rFonts w:hint="default" w:ascii="Times New Roman" w:hAnsi="Times New Roman" w:cs="Times New Roman"/>
                <w:bCs/>
                <w:szCs w:val="21"/>
              </w:rPr>
              <w:t>施</w:t>
            </w:r>
          </w:p>
        </w:tc>
        <w:tc>
          <w:tcPr>
            <w:tcW w:w="9709" w:type="dxa"/>
            <w:shd w:val="clear" w:color="auto" w:fill="auto"/>
          </w:tcPr>
          <w:p>
            <w:pPr>
              <w:pStyle w:val="49"/>
              <w:keepNext w:val="0"/>
              <w:keepLines w:val="0"/>
              <w:pageBreakBefore w:val="0"/>
              <w:widowControl w:val="0"/>
              <w:kinsoku/>
              <w:wordWrap/>
              <w:overflowPunct/>
              <w:topLinePunct w:val="0"/>
              <w:bidi w:val="0"/>
              <w:snapToGrid/>
              <w:spacing w:line="440" w:lineRule="exact"/>
              <w:ind w:firstLine="480"/>
              <w:textAlignment w:val="auto"/>
              <w:rPr>
                <w:rFonts w:hint="default" w:ascii="Times New Roman" w:hAnsi="Times New Roman" w:cs="Times New Roman"/>
                <w:color w:val="000000"/>
              </w:rPr>
            </w:pPr>
            <w:r>
              <w:rPr>
                <w:rFonts w:hint="default" w:ascii="Times New Roman" w:hAnsi="Times New Roman" w:cs="Times New Roman"/>
                <w:color w:val="000000"/>
              </w:rPr>
              <w:t>2.2废水治理设施可行性分析</w:t>
            </w:r>
          </w:p>
          <w:p>
            <w:pPr>
              <w:pStyle w:val="26"/>
              <w:keepNext w:val="0"/>
              <w:keepLines w:val="0"/>
              <w:pageBreakBefore w:val="0"/>
              <w:widowControl w:val="0"/>
              <w:numPr>
                <w:ilvl w:val="0"/>
                <w:numId w:val="13"/>
              </w:numPr>
              <w:kinsoku/>
              <w:wordWrap/>
              <w:overflowPunct/>
              <w:topLinePunct w:val="0"/>
              <w:bidi w:val="0"/>
              <w:snapToGrid/>
              <w:spacing w:line="440" w:lineRule="exact"/>
              <w:ind w:firstLine="480" w:firstLineChars="200"/>
              <w:jc w:val="both"/>
              <w:textAlignment w:val="auto"/>
              <w:rPr>
                <w:rFonts w:hint="default" w:ascii="Times New Roman" w:hAnsi="Times New Roman" w:cs="Times New Roman"/>
                <w:color w:val="auto"/>
                <w:kern w:val="2"/>
              </w:rPr>
            </w:pPr>
            <w:r>
              <w:rPr>
                <w:rFonts w:hint="default" w:ascii="Times New Roman" w:hAnsi="Times New Roman" w:cs="Times New Roman"/>
                <w:color w:val="auto"/>
                <w:kern w:val="2"/>
              </w:rPr>
              <w:t>废水治理措施</w:t>
            </w:r>
          </w:p>
          <w:p>
            <w:pPr>
              <w:pStyle w:val="49"/>
              <w:keepNext w:val="0"/>
              <w:keepLines w:val="0"/>
              <w:pageBreakBefore w:val="0"/>
              <w:widowControl w:val="0"/>
              <w:kinsoku/>
              <w:wordWrap/>
              <w:overflowPunct/>
              <w:topLinePunct w:val="0"/>
              <w:bidi w:val="0"/>
              <w:snapToGrid/>
              <w:spacing w:line="440" w:lineRule="exact"/>
              <w:ind w:firstLine="480"/>
              <w:textAlignment w:val="auto"/>
              <w:rPr>
                <w:rFonts w:hint="default" w:ascii="Times New Roman" w:hAnsi="Times New Roman" w:cs="Times New Roman"/>
              </w:rPr>
            </w:pPr>
            <w:r>
              <w:rPr>
                <w:rFonts w:hint="default" w:ascii="Times New Roman" w:hAnsi="Times New Roman" w:cs="Times New Roman"/>
              </w:rPr>
              <w:t>本项目产生的</w:t>
            </w:r>
            <w:r>
              <w:rPr>
                <w:rFonts w:hint="default" w:ascii="Times New Roman" w:hAnsi="Times New Roman" w:cs="Times New Roman"/>
                <w:lang w:eastAsia="zh-CN"/>
              </w:rPr>
              <w:t>外排</w:t>
            </w:r>
            <w:r>
              <w:rPr>
                <w:rFonts w:hint="default" w:ascii="Times New Roman" w:hAnsi="Times New Roman" w:cs="Times New Roman"/>
              </w:rPr>
              <w:t>废水主要为生活污水。</w:t>
            </w:r>
          </w:p>
          <w:p>
            <w:pPr>
              <w:pStyle w:val="49"/>
              <w:keepNext w:val="0"/>
              <w:keepLines w:val="0"/>
              <w:pageBreakBefore w:val="0"/>
              <w:widowControl w:val="0"/>
              <w:kinsoku/>
              <w:wordWrap/>
              <w:overflowPunct/>
              <w:topLinePunct w:val="0"/>
              <w:bidi w:val="0"/>
              <w:snapToGrid/>
              <w:spacing w:line="440" w:lineRule="exact"/>
              <w:ind w:firstLine="480"/>
              <w:textAlignment w:val="auto"/>
              <w:rPr>
                <w:rFonts w:hint="eastAsia" w:ascii="Times New Roman" w:hAnsi="Times New Roman" w:cs="Times New Roman"/>
                <w:lang w:eastAsia="zh-CN"/>
              </w:rPr>
            </w:pPr>
            <w:r>
              <w:rPr>
                <w:rFonts w:hint="eastAsia" w:ascii="Times New Roman" w:hAnsi="Times New Roman" w:eastAsia="宋体" w:cs="Times New Roman"/>
                <w:lang w:eastAsia="zh-CN"/>
              </w:rPr>
              <w:t>生活废水中各污染物产生浓度较低，水质简单，经化粪池</w:t>
            </w:r>
            <w:r>
              <w:rPr>
                <w:rFonts w:hint="default" w:ascii="Times New Roman" w:hAnsi="Times New Roman" w:eastAsia="宋体" w:cs="Times New Roman"/>
              </w:rPr>
              <w:t>处理</w:t>
            </w:r>
            <w:r>
              <w:rPr>
                <w:rFonts w:hint="eastAsia" w:ascii="Times New Roman" w:hAnsi="Times New Roman" w:eastAsia="宋体" w:cs="Times New Roman"/>
                <w:lang w:eastAsia="zh-CN"/>
              </w:rPr>
              <w:t>后</w:t>
            </w:r>
            <w:r>
              <w:rPr>
                <w:rFonts w:hint="default" w:ascii="Times New Roman" w:hAnsi="Times New Roman" w:eastAsia="宋体" w:cs="Times New Roman"/>
              </w:rPr>
              <w:t>可满足污水处理厂纳管标准要求。经污水处理厂处理达标后，排入</w:t>
            </w:r>
            <w:r>
              <w:rPr>
                <w:rFonts w:hint="eastAsia" w:ascii="Times New Roman" w:hAnsi="Times New Roman" w:cs="Times New Roman"/>
                <w:lang w:eastAsia="zh-CN"/>
              </w:rPr>
              <w:t>高砂河</w:t>
            </w:r>
            <w:r>
              <w:rPr>
                <w:rFonts w:hint="default" w:ascii="Times New Roman" w:hAnsi="Times New Roman" w:eastAsia="宋体" w:cs="Times New Roman"/>
              </w:rPr>
              <w:t>，其污染负荷低，废水水质较简单，对纳污水体影响较小</w:t>
            </w:r>
            <w:r>
              <w:rPr>
                <w:rFonts w:hint="eastAsia" w:ascii="Times New Roman" w:hAnsi="Times New Roman" w:cs="Times New Roman"/>
                <w:lang w:eastAsia="zh-CN"/>
              </w:rPr>
              <w:t>。</w:t>
            </w:r>
          </w:p>
          <w:p>
            <w:pPr>
              <w:pStyle w:val="26"/>
              <w:numPr>
                <w:ilvl w:val="0"/>
                <w:numId w:val="13"/>
              </w:numPr>
              <w:spacing w:line="440" w:lineRule="exact"/>
              <w:ind w:firstLine="480" w:firstLineChars="200"/>
              <w:jc w:val="both"/>
              <w:rPr>
                <w:rFonts w:hint="default" w:ascii="Times New Roman" w:hAnsi="Times New Roman" w:cs="Times New Roman"/>
                <w:b w:val="0"/>
                <w:bCs w:val="0"/>
                <w:color w:val="000000" w:themeColor="text1"/>
                <w:kern w:val="2"/>
                <w14:textFill>
                  <w14:solidFill>
                    <w14:schemeClr w14:val="tx1"/>
                  </w14:solidFill>
                </w14:textFill>
              </w:rPr>
            </w:pPr>
            <w:r>
              <w:rPr>
                <w:rFonts w:hint="default" w:ascii="Times New Roman" w:hAnsi="Times New Roman" w:cs="Times New Roman"/>
                <w:b w:val="0"/>
                <w:bCs w:val="0"/>
                <w:color w:val="000000" w:themeColor="text1"/>
                <w:kern w:val="2"/>
                <w14:textFill>
                  <w14:solidFill>
                    <w14:schemeClr w14:val="tx1"/>
                  </w14:solidFill>
                </w14:textFill>
              </w:rPr>
              <w:t>处理工艺达标纳管可行</w:t>
            </w:r>
          </w:p>
          <w:p>
            <w:pPr>
              <w:pStyle w:val="49"/>
              <w:spacing w:line="440" w:lineRule="exact"/>
              <w:ind w:firstLine="480"/>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cs="Times New Roman"/>
                <w:snapToGrid w:val="0"/>
                <w:color w:val="000000" w:themeColor="text1"/>
                <w:szCs w:val="21"/>
                <w:lang w:eastAsia="zh-CN"/>
                <w14:textFill>
                  <w14:solidFill>
                    <w14:schemeClr w14:val="tx1"/>
                  </w14:solidFill>
                </w14:textFill>
              </w:rPr>
              <w:t>根据</w:t>
            </w:r>
            <w:r>
              <w:rPr>
                <w:rFonts w:hint="default" w:ascii="Times New Roman" w:hAnsi="Times New Roman" w:eastAsia="宋体" w:cs="Times New Roman"/>
                <w:color w:val="000000" w:themeColor="text1"/>
                <w:szCs w:val="21"/>
                <w14:textFill>
                  <w14:solidFill>
                    <w14:schemeClr w14:val="tx1"/>
                  </w14:solidFill>
                </w14:textFill>
              </w:rPr>
              <w:t xml:space="preserve">《排污许可证申请与核发技术规范 </w:t>
            </w:r>
            <w:r>
              <w:rPr>
                <w:rFonts w:hint="eastAsia" w:ascii="Times New Roman" w:hAnsi="Times New Roman" w:cs="Times New Roman"/>
                <w:color w:val="000000" w:themeColor="text1"/>
                <w:szCs w:val="21"/>
                <w:lang w:eastAsia="zh-CN"/>
                <w14:textFill>
                  <w14:solidFill>
                    <w14:schemeClr w14:val="tx1"/>
                  </w14:solidFill>
                </w14:textFill>
              </w:rPr>
              <w:t>橡胶和塑料制品工业</w:t>
            </w:r>
            <w:r>
              <w:rPr>
                <w:rFonts w:hint="default" w:ascii="Times New Roman" w:hAnsi="Times New Roman" w:eastAsia="宋体" w:cs="Times New Roman"/>
                <w:color w:val="000000" w:themeColor="text1"/>
                <w:szCs w:val="21"/>
                <w14:textFill>
                  <w14:solidFill>
                    <w14:schemeClr w14:val="tx1"/>
                  </w14:solidFill>
                </w14:textFill>
              </w:rPr>
              <w:t>》（HJ</w:t>
            </w:r>
            <w:r>
              <w:rPr>
                <w:rFonts w:hint="default" w:ascii="Times New Roman" w:hAnsi="Times New Roman" w:eastAsia="宋体" w:cs="Times New Roman"/>
                <w:color w:val="000000" w:themeColor="text1"/>
                <w:szCs w:val="21"/>
                <w:lang w:val="en-US" w:eastAsia="zh-CN"/>
                <w14:textFill>
                  <w14:solidFill>
                    <w14:schemeClr w14:val="tx1"/>
                  </w14:solidFill>
                </w14:textFill>
              </w:rPr>
              <w:t>11</w:t>
            </w:r>
            <w:r>
              <w:rPr>
                <w:rFonts w:hint="eastAsia" w:ascii="Times New Roman" w:hAnsi="Times New Roman" w:cs="Times New Roman"/>
                <w:color w:val="000000" w:themeColor="text1"/>
                <w:szCs w:val="21"/>
                <w:lang w:val="en-US" w:eastAsia="zh-CN"/>
                <w14:textFill>
                  <w14:solidFill>
                    <w14:schemeClr w14:val="tx1"/>
                  </w14:solidFill>
                </w14:textFill>
              </w:rPr>
              <w:t>22</w:t>
            </w:r>
            <w:r>
              <w:rPr>
                <w:rFonts w:hint="default" w:ascii="Times New Roman" w:hAnsi="Times New Roman" w:eastAsia="宋体" w:cs="Times New Roman"/>
                <w:color w:val="000000" w:themeColor="text1"/>
                <w:szCs w:val="21"/>
                <w:lang w:val="en-US" w:eastAsia="zh-CN"/>
                <w14:textFill>
                  <w14:solidFill>
                    <w14:schemeClr w14:val="tx1"/>
                  </w14:solidFill>
                </w14:textFill>
              </w:rPr>
              <w:t>-2020</w:t>
            </w:r>
            <w:r>
              <w:rPr>
                <w:rFonts w:hint="default" w:ascii="Times New Roman" w:hAnsi="Times New Roman" w:eastAsia="宋体" w:cs="Times New Roman"/>
                <w:color w:val="000000" w:themeColor="text1"/>
                <w:szCs w:val="21"/>
                <w14:textFill>
                  <w14:solidFill>
                    <w14:schemeClr w14:val="tx1"/>
                  </w14:solidFill>
                </w14:textFill>
              </w:rPr>
              <w:t>）</w:t>
            </w:r>
            <w:r>
              <w:rPr>
                <w:rFonts w:hint="default" w:ascii="Times New Roman" w:hAnsi="Times New Roman" w:eastAsia="宋体" w:cs="Times New Roman"/>
                <w:color w:val="000000" w:themeColor="text1"/>
                <w:szCs w:val="21"/>
                <w:lang w:eastAsia="zh-CN"/>
                <w14:textFill>
                  <w14:solidFill>
                    <w14:schemeClr w14:val="tx1"/>
                  </w14:solidFill>
                </w14:textFill>
              </w:rPr>
              <w:t>中</w:t>
            </w:r>
            <w:r>
              <w:rPr>
                <w:rFonts w:hint="eastAsia"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eastAsia="宋体" w:cs="Times New Roman"/>
                <w:color w:val="000000" w:themeColor="text1"/>
                <w:szCs w:val="21"/>
                <w:lang w:eastAsia="zh-CN"/>
                <w14:textFill>
                  <w14:solidFill>
                    <w14:schemeClr w14:val="tx1"/>
                  </w14:solidFill>
                </w14:textFill>
              </w:rPr>
              <w:t>表</w:t>
            </w:r>
            <w:r>
              <w:rPr>
                <w:rFonts w:hint="default" w:ascii="Times New Roman" w:hAnsi="Times New Roman" w:eastAsia="宋体" w:cs="Times New Roman"/>
                <w:color w:val="000000" w:themeColor="text1"/>
                <w:szCs w:val="21"/>
                <w:lang w:val="en-US" w:eastAsia="zh-CN"/>
                <w14:textFill>
                  <w14:solidFill>
                    <w14:schemeClr w14:val="tx1"/>
                  </w14:solidFill>
                </w14:textFill>
              </w:rPr>
              <w:t>A</w:t>
            </w:r>
            <w:r>
              <w:rPr>
                <w:rFonts w:hint="eastAsia" w:ascii="Times New Roman" w:hAnsi="Times New Roman" w:eastAsia="宋体" w:cs="Times New Roman"/>
                <w:color w:val="000000" w:themeColor="text1"/>
                <w:szCs w:val="21"/>
                <w:lang w:val="en-US" w:eastAsia="zh-CN"/>
                <w14:textFill>
                  <w14:solidFill>
                    <w14:schemeClr w14:val="tx1"/>
                  </w14:solidFill>
                </w14:textFill>
              </w:rPr>
              <w:t>.4</w:t>
            </w:r>
            <w:r>
              <w:rPr>
                <w:rFonts w:hint="default" w:ascii="Times New Roman" w:hAnsi="Times New Roman" w:eastAsia="宋体" w:cs="Times New Roman"/>
                <w:color w:val="000000" w:themeColor="text1"/>
                <w:szCs w:val="21"/>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Cs w:val="21"/>
                <w:lang w:val="en-US" w:eastAsia="zh-CN"/>
                <w14:textFill>
                  <w14:solidFill>
                    <w14:schemeClr w14:val="tx1"/>
                  </w14:solidFill>
                </w14:textFill>
              </w:rPr>
              <w:t>塑料制品工业排污单位废水污染防治可行性技术参考表—使用除聚氯乙烯以外的树脂生产塑料制品</w:t>
            </w:r>
            <w:r>
              <w:rPr>
                <w:rFonts w:hint="default"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eastAsia="宋体" w:cs="Times New Roman"/>
                <w:color w:val="000000" w:themeColor="text1"/>
                <w:szCs w:val="21"/>
                <w:lang w:eastAsia="zh-CN"/>
                <w14:textFill>
                  <w14:solidFill>
                    <w14:schemeClr w14:val="tx1"/>
                  </w14:solidFill>
                </w14:textFill>
              </w:rPr>
              <w:t>生活污水处理设施可行技术有：隔油池、化粪池调节池、厌氧</w:t>
            </w:r>
            <w:r>
              <w:rPr>
                <w:rFonts w:hint="eastAsia" w:ascii="Times New Roman" w:hAnsi="Times New Roman" w:eastAsia="宋体" w:cs="Times New Roman"/>
                <w:color w:val="000000" w:themeColor="text1"/>
                <w:szCs w:val="21"/>
                <w:lang w:val="en-US" w:eastAsia="zh-CN"/>
                <w14:textFill>
                  <w14:solidFill>
                    <w14:schemeClr w14:val="tx1"/>
                  </w14:solidFill>
                </w14:textFill>
              </w:rPr>
              <w:t>-好氧、兼性-好氧、好氧生物处理；深度处理设施：过滤、活性炭吸附、超滤、反渗透。</w:t>
            </w:r>
          </w:p>
          <w:p>
            <w:pPr>
              <w:pStyle w:val="49"/>
              <w:spacing w:line="440" w:lineRule="exact"/>
              <w:ind w:firstLine="480"/>
              <w:rPr>
                <w:rFonts w:hint="default" w:ascii="Times New Roman" w:hAnsi="Times New Roman" w:cs="Times New Roman"/>
                <w:snapToGrid w:val="0"/>
                <w:szCs w:val="21"/>
              </w:rPr>
            </w:pPr>
            <w:r>
              <w:rPr>
                <w:rFonts w:hint="default" w:ascii="Times New Roman" w:hAnsi="Times New Roman" w:cs="Times New Roman"/>
                <w:snapToGrid w:val="0"/>
                <w:szCs w:val="21"/>
              </w:rPr>
              <w:t>本项目产生的</w:t>
            </w:r>
            <w:r>
              <w:rPr>
                <w:rFonts w:hint="eastAsia" w:ascii="Times New Roman" w:hAnsi="Times New Roman" w:cs="Times New Roman"/>
                <w:snapToGrid w:val="0"/>
                <w:szCs w:val="21"/>
                <w:lang w:eastAsia="zh-CN"/>
              </w:rPr>
              <w:t>废水</w:t>
            </w:r>
            <w:r>
              <w:rPr>
                <w:rFonts w:hint="default" w:ascii="Times New Roman" w:hAnsi="Times New Roman" w:cs="Times New Roman"/>
                <w:snapToGrid w:val="0"/>
                <w:szCs w:val="21"/>
              </w:rPr>
              <w:t>水质简单，水量较小，生活污水</w:t>
            </w:r>
            <w:r>
              <w:rPr>
                <w:rFonts w:hint="eastAsia" w:ascii="Times New Roman" w:hAnsi="Times New Roman" w:cs="Times New Roman"/>
                <w:snapToGrid w:val="0"/>
                <w:szCs w:val="21"/>
                <w:lang w:eastAsia="zh-CN"/>
              </w:rPr>
              <w:t>经化粪池</w:t>
            </w:r>
            <w:r>
              <w:rPr>
                <w:rFonts w:hint="default" w:ascii="Times New Roman" w:hAnsi="Times New Roman" w:cs="Times New Roman"/>
                <w:snapToGrid w:val="0"/>
                <w:szCs w:val="21"/>
              </w:rPr>
              <w:t>处理后，排放的污染物均能达到纳管标准要求。</w:t>
            </w:r>
          </w:p>
          <w:p>
            <w:pPr>
              <w:pStyle w:val="49"/>
              <w:spacing w:line="440" w:lineRule="exact"/>
              <w:ind w:firstLine="480"/>
              <w:rPr>
                <w:rFonts w:ascii="Times New Roman" w:hAnsi="Times New Roman" w:cs="Times New Roman"/>
                <w:snapToGrid w:val="0"/>
                <w:color w:val="000000" w:themeColor="text1"/>
                <w:szCs w:val="21"/>
                <w14:textFill>
                  <w14:solidFill>
                    <w14:schemeClr w14:val="tx1"/>
                  </w14:solidFill>
                </w14:textFill>
              </w:rPr>
            </w:pPr>
            <w:r>
              <w:rPr>
                <w:rFonts w:ascii="Times New Roman" w:hAnsi="Times New Roman" w:cs="Times New Roman"/>
                <w:snapToGrid w:val="0"/>
                <w:color w:val="000000" w:themeColor="text1"/>
                <w:szCs w:val="21"/>
                <w14:textFill>
                  <w14:solidFill>
                    <w14:schemeClr w14:val="tx1"/>
                  </w14:solidFill>
                </w14:textFill>
              </w:rPr>
              <w:t>综上所述，本项目采用的废水处理工艺措施是可行的。</w:t>
            </w:r>
          </w:p>
          <w:p>
            <w:pPr>
              <w:pStyle w:val="49"/>
              <w:spacing w:line="440" w:lineRule="exact"/>
              <w:ind w:firstLine="480"/>
              <w:rPr>
                <w:rFonts w:hint="default" w:ascii="Times New Roman" w:hAnsi="Times New Roman" w:cs="Times New Roman"/>
              </w:rPr>
            </w:pPr>
            <w:r>
              <w:rPr>
                <w:rFonts w:hint="default" w:ascii="Times New Roman" w:hAnsi="Times New Roman" w:cs="Times New Roman"/>
              </w:rPr>
              <w:t>2.3废水环境影响分析</w:t>
            </w:r>
          </w:p>
          <w:p>
            <w:pPr>
              <w:pStyle w:val="49"/>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本项目位于江西省上饶市婺源县工业园区金庸大道99号，所在区域污水管网已铺设到位，目前污水已具备纳管集中处理条件。本项目实施后产生的废水主要为生活污水，废水量为</w:t>
            </w:r>
            <w:r>
              <w:rPr>
                <w:rFonts w:hint="eastAsia" w:ascii="Times New Roman" w:hAnsi="Times New Roman" w:cs="Times New Roman"/>
                <w:color w:val="000000" w:themeColor="text1"/>
                <w:lang w:val="en-US" w:eastAsia="zh-CN"/>
                <w14:textFill>
                  <w14:solidFill>
                    <w14:schemeClr w14:val="tx1"/>
                  </w14:solidFill>
                </w14:textFill>
              </w:rPr>
              <w:t>1440</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/a（</w:t>
            </w:r>
            <w:r>
              <w:rPr>
                <w:rFonts w:hint="eastAsia" w:ascii="Times New Roman" w:hAnsi="Times New Roman" w:cs="Times New Roman"/>
                <w:color w:val="000000" w:themeColor="text1"/>
                <w:lang w:val="en-US" w:eastAsia="zh-CN"/>
                <w14:textFill>
                  <w14:solidFill>
                    <w14:schemeClr w14:val="tx1"/>
                  </w14:solidFill>
                </w14:textFill>
              </w:rPr>
              <w:t>4.8</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/d），废水水质较简单，不含重金属粒子，主要污染因子为COD</w:t>
            </w:r>
            <w:r>
              <w:rPr>
                <w:rFonts w:hint="default" w:ascii="Times New Roman" w:hAnsi="Times New Roman" w:cs="Times New Roman"/>
                <w:color w:val="000000" w:themeColor="text1"/>
                <w:vertAlign w:val="subscript"/>
                <w14:textFill>
                  <w14:solidFill>
                    <w14:schemeClr w14:val="tx1"/>
                  </w14:solidFill>
                </w14:textFill>
              </w:rPr>
              <w:t>Cr</w:t>
            </w:r>
            <w:r>
              <w:rPr>
                <w:rFonts w:hint="default" w:ascii="Times New Roman" w:hAnsi="Times New Roman" w:cs="Times New Roman"/>
                <w:color w:val="000000" w:themeColor="text1"/>
                <w14:textFill>
                  <w14:solidFill>
                    <w14:schemeClr w14:val="tx1"/>
                  </w14:solidFill>
                </w14:textFill>
              </w:rPr>
              <w:t>、BOD</w:t>
            </w:r>
            <w:r>
              <w:rPr>
                <w:rFonts w:hint="default" w:ascii="Times New Roman" w:hAnsi="Times New Roman" w:cs="Times New Roman"/>
                <w:color w:val="000000" w:themeColor="text1"/>
                <w:vertAlign w:val="subscript"/>
                <w14:textFill>
                  <w14:solidFill>
                    <w14:schemeClr w14:val="tx1"/>
                  </w14:solidFill>
                </w14:textFill>
              </w:rPr>
              <w:t>5</w:t>
            </w:r>
            <w:r>
              <w:rPr>
                <w:rFonts w:hint="default" w:ascii="Times New Roman" w:hAnsi="Times New Roman" w:cs="Times New Roman"/>
                <w:color w:val="000000" w:themeColor="text1"/>
                <w14:textFill>
                  <w14:solidFill>
                    <w14:schemeClr w14:val="tx1"/>
                  </w14:solidFill>
                </w14:textFill>
              </w:rPr>
              <w:t>、SS、NH</w:t>
            </w:r>
            <w:r>
              <w:rPr>
                <w:rFonts w:hint="default" w:ascii="Times New Roman" w:hAnsi="Times New Roman" w:cs="Times New Roman"/>
                <w:color w:val="000000" w:themeColor="text1"/>
                <w:vertAlign w:val="sub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-N等，废水经厂区内预处理后，废水水质能达到朝</w:t>
            </w:r>
            <w:r>
              <w:rPr>
                <w:rFonts w:hint="eastAsia" w:ascii="Times New Roman" w:hAnsi="Times New Roman" w:cs="Times New Roman"/>
                <w:color w:val="000000" w:themeColor="text1"/>
                <w:lang w:eastAsia="zh-CN"/>
                <w14:textFill>
                  <w14:solidFill>
                    <w14:schemeClr w14:val="tx1"/>
                  </w14:solidFill>
                </w14:textFill>
              </w:rPr>
              <w:t>婺源县城西（工业园区）污水处理厂</w:t>
            </w:r>
            <w:r>
              <w:rPr>
                <w:rFonts w:hint="default" w:ascii="Times New Roman" w:hAnsi="Times New Roman" w:cs="Times New Roman"/>
                <w:color w:val="000000" w:themeColor="text1"/>
                <w14:textFill>
                  <w14:solidFill>
                    <w14:schemeClr w14:val="tx1"/>
                  </w14:solidFill>
                </w14:textFill>
              </w:rPr>
              <w:t>设计进水水质指标要求后，纳入市政污水管网，不直接排入附近地表水体，正常情况下，不会对项目周边河道水环境产生污染影响。</w:t>
            </w:r>
          </w:p>
          <w:p>
            <w:pPr>
              <w:pStyle w:val="49"/>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2.4依托污水处理措施环境可行性分析</w:t>
            </w:r>
          </w:p>
          <w:p>
            <w:pPr>
              <w:pStyle w:val="49"/>
              <w:spacing w:line="440" w:lineRule="exact"/>
              <w:ind w:firstLine="480"/>
              <w:rPr>
                <w:rFonts w:hint="default" w:ascii="Times New Roman" w:hAnsi="Times New Roman" w:cs="Times New Roman"/>
              </w:rPr>
            </w:pPr>
            <w:r>
              <w:rPr>
                <w:rFonts w:hint="eastAsia" w:ascii="Times New Roman" w:hAnsi="Times New Roman" w:cs="Times New Roman"/>
                <w:color w:val="000000" w:themeColor="text1"/>
                <w:lang w:eastAsia="zh-CN"/>
                <w14:textFill>
                  <w14:solidFill>
                    <w14:schemeClr w14:val="tx1"/>
                  </w14:solidFill>
                </w14:textFill>
              </w:rPr>
              <w:t>婺源县城西（工业园区）污水处理厂</w:t>
            </w:r>
            <w:r>
              <w:rPr>
                <w:rFonts w:hint="default" w:ascii="Times New Roman" w:hAnsi="Times New Roman" w:cs="Times New Roman"/>
                <w:color w:val="000000" w:themeColor="text1"/>
                <w14:textFill>
                  <w14:solidFill>
                    <w14:schemeClr w14:val="tx1"/>
                  </w14:solidFill>
                </w14:textFill>
              </w:rPr>
              <w:t>选址于</w:t>
            </w:r>
            <w:r>
              <w:rPr>
                <w:rFonts w:hint="eastAsia" w:ascii="Times New Roman" w:hAnsi="Times New Roman" w:cs="Times New Roman"/>
                <w:color w:val="000000" w:themeColor="text1"/>
                <w:lang w:eastAsia="zh-CN"/>
                <w14:textFill>
                  <w14:solidFill>
                    <w14:schemeClr w14:val="tx1"/>
                  </w14:solidFill>
                </w14:textFill>
              </w:rPr>
              <w:t>江西省婺源县工业园区方家</w:t>
            </w:r>
            <w:r>
              <w:rPr>
                <w:rFonts w:hint="default" w:ascii="Times New Roman" w:hAnsi="Times New Roman" w:cs="Times New Roman"/>
                <w:color w:val="000000" w:themeColor="text1"/>
                <w14:textFill>
                  <w14:solidFill>
                    <w14:schemeClr w14:val="tx1"/>
                  </w14:solidFill>
                </w14:textFill>
              </w:rPr>
              <w:t>，占地</w:t>
            </w:r>
            <w:r>
              <w:rPr>
                <w:rFonts w:hint="eastAsia" w:ascii="Times New Roman" w:hAnsi="Times New Roman" w:cs="Times New Roman"/>
                <w:color w:val="000000" w:themeColor="text1"/>
                <w:lang w:val="en-US" w:eastAsia="zh-CN"/>
                <w14:textFill>
                  <w14:solidFill>
                    <w14:schemeClr w14:val="tx1"/>
                  </w14:solidFill>
                </w14:textFill>
              </w:rPr>
              <w:t>17980</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。设计污水处理能力2000</w:t>
            </w:r>
            <w:r>
              <w:rPr>
                <w:rFonts w:hint="eastAsia" w:ascii="Times New Roman" w:hAnsi="Times New Roman" w:cs="Times New Roman"/>
                <w:color w:val="000000" w:themeColor="text1"/>
                <w:lang w:val="en-US" w:eastAsia="zh-CN"/>
                <w14:textFill>
                  <w14:solidFill>
                    <w14:schemeClr w14:val="tx1"/>
                  </w14:solidFill>
                </w14:textFill>
              </w:rPr>
              <w:t>0</w:t>
            </w:r>
            <w:r>
              <w:rPr>
                <w:rFonts w:hint="default" w:ascii="Times New Roman" w:hAnsi="Times New Roman" w:cs="Times New Roman"/>
                <w:color w:val="000000" w:themeColor="text1"/>
                <w14:textFill>
                  <w14:solidFill>
                    <w14:schemeClr w14:val="tx1"/>
                  </w14:solidFill>
                </w14:textFill>
              </w:rPr>
              <w:t xml:space="preserve"> 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/d，总投资</w:t>
            </w:r>
            <w:r>
              <w:rPr>
                <w:rFonts w:hint="eastAsia" w:ascii="Times New Roman" w:hAnsi="Times New Roman" w:cs="Times New Roman"/>
                <w:color w:val="000000" w:themeColor="text1"/>
                <w:lang w:val="en-US" w:eastAsia="zh-CN"/>
                <w14:textFill>
                  <w14:solidFill>
                    <w14:schemeClr w14:val="tx1"/>
                  </w14:solidFill>
                </w14:textFill>
              </w:rPr>
              <w:t>9801.67</w:t>
            </w:r>
            <w:r>
              <w:rPr>
                <w:rFonts w:hint="default" w:ascii="Times New Roman" w:hAnsi="Times New Roman" w:cs="Times New Roman"/>
                <w:color w:val="000000" w:themeColor="text1"/>
                <w14:textFill>
                  <w14:solidFill>
                    <w14:schemeClr w14:val="tx1"/>
                  </w14:solidFill>
                </w14:textFill>
              </w:rPr>
              <w:t>万元，主要接纳</w:t>
            </w:r>
            <w:r>
              <w:rPr>
                <w:rFonts w:hint="eastAsia" w:ascii="Times New Roman" w:hAnsi="Times New Roman" w:cs="Times New Roman"/>
                <w:color w:val="000000" w:themeColor="text1"/>
                <w:lang w:eastAsia="zh-CN"/>
                <w14:textFill>
                  <w14:solidFill>
                    <w14:schemeClr w14:val="tx1"/>
                  </w14:solidFill>
                </w14:textFill>
              </w:rPr>
              <w:t>婺源县工业园区</w:t>
            </w:r>
            <w:r>
              <w:rPr>
                <w:rFonts w:hint="default" w:ascii="Times New Roman" w:hAnsi="Times New Roman" w:cs="Times New Roman"/>
                <w:color w:val="000000" w:themeColor="text1"/>
                <w14:textFill>
                  <w14:solidFill>
                    <w14:schemeClr w14:val="tx1"/>
                  </w14:solidFill>
                </w14:textFill>
              </w:rPr>
              <w:t>生活污水和园区生产废水</w:t>
            </w:r>
            <w:r>
              <w:rPr>
                <w:rFonts w:hint="eastAsia" w:ascii="Times New Roman" w:hAnsi="Times New Roman" w:cs="Times New Roman"/>
                <w:color w:val="000000" w:themeColor="text1"/>
                <w:lang w:eastAsia="zh-CN"/>
                <w14:textFill>
                  <w14:solidFill>
                    <w14:schemeClr w14:val="tx1"/>
                  </w14:solidFill>
                </w14:textFill>
              </w:rPr>
              <w:t>及周边居民生活污水</w:t>
            </w:r>
            <w:r>
              <w:rPr>
                <w:rFonts w:hint="default" w:ascii="Times New Roman" w:hAnsi="Times New Roman" w:cs="Times New Roman"/>
                <w:color w:val="000000" w:themeColor="text1"/>
                <w14:textFill>
                  <w14:solidFill>
                    <w14:schemeClr w14:val="tx1"/>
                  </w14:solidFill>
                </w14:textFill>
              </w:rPr>
              <w:t>，于201</w:t>
            </w:r>
            <w:r>
              <w:rPr>
                <w:rFonts w:hint="eastAsia"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14:textFill>
                  <w14:solidFill>
                    <w14:schemeClr w14:val="tx1"/>
                  </w14:solidFill>
                </w14:textFill>
              </w:rPr>
              <w:t>年开工建设，已投入运行。其核心工艺采用</w:t>
            </w:r>
            <w:r>
              <w:rPr>
                <w:rFonts w:hint="eastAsia" w:ascii="Times New Roman" w:hAnsi="Times New Roman" w:cs="Times New Roman"/>
                <w:color w:val="000000" w:themeColor="text1"/>
                <w:lang w:eastAsia="zh-CN"/>
                <w14:textFill>
                  <w14:solidFill>
                    <w14:schemeClr w14:val="tx1"/>
                  </w14:solidFill>
                </w14:textFill>
              </w:rPr>
              <w:t>格栅</w:t>
            </w:r>
            <w:r>
              <w:rPr>
                <w:rFonts w:hint="eastAsia" w:ascii="Times New Roman" w:hAnsi="Times New Roman" w:cs="Times New Roman"/>
                <w:color w:val="000000" w:themeColor="text1"/>
                <w:lang w:val="en-US"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沉砂池+氧化沟+二沉池+</w:t>
            </w:r>
            <w:r>
              <w:rPr>
                <w:rFonts w:hint="eastAsia" w:ascii="Times New Roman" w:hAnsi="Times New Roman" w:cs="Times New Roman"/>
                <w:color w:val="000000" w:themeColor="text1"/>
                <w:lang w:eastAsia="zh-CN"/>
                <w14:textFill>
                  <w14:solidFill>
                    <w14:schemeClr w14:val="tx1"/>
                  </w14:solidFill>
                </w14:textFill>
              </w:rPr>
              <w:t>微絮凝反应池</w:t>
            </w:r>
            <w:r>
              <w:rPr>
                <w:rFonts w:hint="eastAsia" w:ascii="Times New Roman" w:hAnsi="Times New Roman" w:cs="Times New Roman"/>
                <w:color w:val="000000" w:themeColor="text1"/>
                <w:lang w:val="en-US" w:eastAsia="zh-CN"/>
                <w14:textFill>
                  <w14:solidFill>
                    <w14:schemeClr w14:val="tx1"/>
                  </w14:solidFill>
                </w14:textFill>
              </w:rPr>
              <w:t>+转盘过滤池+</w:t>
            </w:r>
            <w:r>
              <w:rPr>
                <w:rFonts w:hint="default" w:ascii="Times New Roman" w:hAnsi="Times New Roman" w:cs="Times New Roman"/>
                <w:color w:val="000000" w:themeColor="text1"/>
                <w14:textFill>
                  <w14:solidFill>
                    <w14:schemeClr w14:val="tx1"/>
                  </w14:solidFill>
                </w14:textFill>
              </w:rPr>
              <w:t>消毒工艺+污泥浓缩脱水工艺，排放标准为《城镇污水处理厂污染物排放标准》（GB18918-2002）表1中一级</w:t>
            </w:r>
            <w:r>
              <w:rPr>
                <w:rFonts w:hint="eastAsia" w:ascii="Times New Roman" w:hAnsi="Times New Roman" w:cs="Times New Roman"/>
                <w:color w:val="000000" w:themeColor="text1"/>
                <w:lang w:val="en-US" w:eastAsia="zh-CN"/>
                <w14:textFill>
                  <w14:solidFill>
                    <w14:schemeClr w14:val="tx1"/>
                  </w14:solidFill>
                </w14:textFill>
              </w:rPr>
              <w:t>A</w:t>
            </w:r>
            <w:r>
              <w:rPr>
                <w:rFonts w:hint="default" w:ascii="Times New Roman" w:hAnsi="Times New Roman" w:cs="Times New Roman"/>
                <w:color w:val="000000" w:themeColor="text1"/>
                <w14:textFill>
                  <w14:solidFill>
                    <w14:schemeClr w14:val="tx1"/>
                  </w14:solidFill>
                </w14:textFill>
              </w:rPr>
              <w:t>标准。</w:t>
            </w:r>
          </w:p>
          <w:p>
            <w:pPr>
              <w:pStyle w:val="49"/>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根据污水处理厂规划，</w:t>
            </w:r>
            <w:r>
              <w:rPr>
                <w:rFonts w:hint="default" w:ascii="Times New Roman" w:hAnsi="Times New Roman" w:cs="Times New Roman"/>
                <w:color w:val="000000" w:themeColor="text1"/>
                <w14:textFill>
                  <w14:solidFill>
                    <w14:schemeClr w14:val="tx1"/>
                  </w14:solidFill>
                </w14:textFill>
              </w:rPr>
              <w:t>本项目在</w:t>
            </w:r>
            <w:r>
              <w:rPr>
                <w:rFonts w:hint="eastAsia" w:ascii="Times New Roman" w:hAnsi="Times New Roman" w:cs="Times New Roman"/>
                <w:color w:val="000000" w:themeColor="text1"/>
                <w:lang w:eastAsia="zh-CN"/>
                <w14:textFill>
                  <w14:solidFill>
                    <w14:schemeClr w14:val="tx1"/>
                  </w14:solidFill>
                </w14:textFill>
              </w:rPr>
              <w:t>婺源县城西（工业园区）污水处理厂</w:t>
            </w:r>
            <w:r>
              <w:rPr>
                <w:rFonts w:hint="default" w:ascii="Times New Roman" w:hAnsi="Times New Roman" w:cs="Times New Roman"/>
                <w:color w:val="000000" w:themeColor="text1"/>
                <w14:textFill>
                  <w14:solidFill>
                    <w14:schemeClr w14:val="tx1"/>
                  </w14:solidFill>
                </w14:textFill>
              </w:rPr>
              <w:t>服务范围内。本项目外排废水量为</w:t>
            </w:r>
            <w:r>
              <w:rPr>
                <w:rFonts w:hint="eastAsia" w:ascii="Times New Roman" w:hAnsi="Times New Roman" w:cs="Times New Roman"/>
                <w:color w:val="000000" w:themeColor="text1"/>
                <w:lang w:val="en-US" w:eastAsia="zh-CN"/>
                <w14:textFill>
                  <w14:solidFill>
                    <w14:schemeClr w14:val="tx1"/>
                  </w14:solidFill>
                </w14:textFill>
              </w:rPr>
              <w:t>1440m</w:t>
            </w:r>
            <w:r>
              <w:rPr>
                <w:rFonts w:hint="eastAsia" w:ascii="Times New Roman" w:hAnsi="Times New Roman" w:cs="Times New Roman"/>
                <w:color w:val="000000" w:themeColor="text1"/>
                <w:vertAlign w:val="superscript"/>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/a（</w:t>
            </w:r>
            <w:r>
              <w:rPr>
                <w:rFonts w:hint="eastAsia" w:ascii="Times New Roman" w:hAnsi="Times New Roman" w:cs="Times New Roman"/>
                <w:color w:val="000000" w:themeColor="text1"/>
                <w:lang w:val="en-US" w:eastAsia="zh-CN"/>
                <w14:textFill>
                  <w14:solidFill>
                    <w14:schemeClr w14:val="tx1"/>
                  </w14:solidFill>
                </w14:textFill>
              </w:rPr>
              <w:t>4.8</w:t>
            </w:r>
            <w:r>
              <w:rPr>
                <w:rFonts w:hint="default" w:ascii="Times New Roman" w:hAnsi="Times New Roman" w:cs="Times New Roman"/>
                <w:color w:val="000000" w:themeColor="text1"/>
                <w14:textFill>
                  <w14:solidFill>
                    <w14:schemeClr w14:val="tx1"/>
                  </w14:solidFill>
                </w14:textFill>
              </w:rPr>
              <w:t>m</w:t>
            </w:r>
            <w:r>
              <w:rPr>
                <w:rFonts w:hint="default" w:ascii="Times New Roman" w:hAnsi="Times New Roman" w:cs="Times New Roman"/>
                <w:color w:val="000000" w:themeColor="text1"/>
                <w:vertAlign w:val="superscript"/>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/d），占</w:t>
            </w:r>
            <w:r>
              <w:rPr>
                <w:rFonts w:hint="eastAsia" w:ascii="Times New Roman" w:hAnsi="Times New Roman" w:cs="Times New Roman"/>
                <w:color w:val="000000" w:themeColor="text1"/>
                <w:lang w:eastAsia="zh-CN"/>
                <w14:textFill>
                  <w14:solidFill>
                    <w14:schemeClr w14:val="tx1"/>
                  </w14:solidFill>
                </w14:textFill>
              </w:rPr>
              <w:t>婺源县城西（工业园区）污水处理厂处理能力的比例</w:t>
            </w:r>
            <w:r>
              <w:rPr>
                <w:rFonts w:hint="default" w:ascii="Times New Roman" w:hAnsi="Times New Roman" w:cs="Times New Roman"/>
                <w:color w:val="000000" w:themeColor="text1"/>
                <w14:textFill>
                  <w14:solidFill>
                    <w14:schemeClr w14:val="tx1"/>
                  </w14:solidFill>
                </w14:textFill>
              </w:rPr>
              <w:t>较小。因此，</w:t>
            </w:r>
            <w:r>
              <w:rPr>
                <w:rFonts w:hint="eastAsia" w:ascii="Times New Roman" w:hAnsi="Times New Roman" w:cs="Times New Roman"/>
                <w:color w:val="000000" w:themeColor="text1"/>
                <w:lang w:eastAsia="zh-CN"/>
                <w14:textFill>
                  <w14:solidFill>
                    <w14:schemeClr w14:val="tx1"/>
                  </w14:solidFill>
                </w14:textFill>
              </w:rPr>
              <w:t>婺源县城西（工业园区）污水处理厂厂</w:t>
            </w:r>
            <w:r>
              <w:rPr>
                <w:rFonts w:hint="default" w:ascii="Times New Roman" w:hAnsi="Times New Roman" w:cs="Times New Roman"/>
                <w:color w:val="000000" w:themeColor="text1"/>
                <w14:textFill>
                  <w14:solidFill>
                    <w14:schemeClr w14:val="tx1"/>
                  </w14:solidFill>
                </w14:textFill>
              </w:rPr>
              <w:t>有足够余量接纳本项目外排废水，项目废水处理依托</w:t>
            </w:r>
            <w:r>
              <w:rPr>
                <w:rFonts w:hint="eastAsia" w:ascii="Times New Roman" w:hAnsi="Times New Roman" w:cs="Times New Roman"/>
                <w:color w:val="000000" w:themeColor="text1"/>
                <w:lang w:eastAsia="zh-CN"/>
                <w14:textFill>
                  <w14:solidFill>
                    <w14:schemeClr w14:val="tx1"/>
                  </w14:solidFill>
                </w14:textFill>
              </w:rPr>
              <w:t>婺源县城西（工业园区）污水处理厂处理</w:t>
            </w:r>
            <w:r>
              <w:rPr>
                <w:rFonts w:hint="default" w:ascii="Times New Roman" w:hAnsi="Times New Roman" w:cs="Times New Roman"/>
                <w:color w:val="000000" w:themeColor="text1"/>
                <w14:textFill>
                  <w14:solidFill>
                    <w14:schemeClr w14:val="tx1"/>
                  </w14:solidFill>
                </w14:textFill>
              </w:rPr>
              <w:t>可行。废水经处理后排放对区域内水环境影响较小。</w:t>
            </w:r>
          </w:p>
          <w:p>
            <w:pPr>
              <w:pStyle w:val="26"/>
              <w:numPr>
                <w:ilvl w:val="0"/>
                <w:numId w:val="10"/>
              </w:numPr>
              <w:spacing w:line="440" w:lineRule="exact"/>
              <w:ind w:firstLine="480" w:firstLineChars="200"/>
              <w:jc w:val="both"/>
              <w:rPr>
                <w:rFonts w:hint="default" w:ascii="Times New Roman" w:hAnsi="Times New Roman" w:cs="Times New Roman"/>
                <w:color w:val="auto"/>
                <w:kern w:val="2"/>
              </w:rPr>
            </w:pPr>
            <w:r>
              <w:rPr>
                <w:rFonts w:hint="default" w:ascii="Times New Roman" w:hAnsi="Times New Roman" w:cs="Times New Roman"/>
                <w:color w:val="auto"/>
                <w:kern w:val="2"/>
              </w:rPr>
              <w:t>噪声</w:t>
            </w:r>
          </w:p>
          <w:p>
            <w:pPr>
              <w:pStyle w:val="26"/>
              <w:spacing w:line="440" w:lineRule="exact"/>
              <w:ind w:left="480" w:leftChars="200"/>
              <w:jc w:val="both"/>
              <w:rPr>
                <w:rFonts w:hint="default" w:ascii="Times New Roman" w:hAnsi="Times New Roman" w:cs="Times New Roman"/>
                <w:color w:val="auto"/>
                <w:kern w:val="2"/>
              </w:rPr>
            </w:pPr>
            <w:r>
              <w:rPr>
                <w:rFonts w:hint="default" w:ascii="Times New Roman" w:hAnsi="Times New Roman" w:cs="Times New Roman"/>
                <w:color w:val="auto"/>
                <w:kern w:val="2"/>
              </w:rPr>
              <w:t>3.1噪声源强</w:t>
            </w:r>
          </w:p>
          <w:p>
            <w:pPr>
              <w:pStyle w:val="49"/>
              <w:spacing w:line="440" w:lineRule="exact"/>
              <w:ind w:firstLine="480"/>
              <w:rPr>
                <w:rFonts w:hint="default" w:ascii="Times New Roman" w:hAnsi="Times New Roman" w:cs="Times New Roman"/>
              </w:rPr>
            </w:pPr>
            <w:r>
              <w:rPr>
                <w:rFonts w:hint="default" w:ascii="Times New Roman" w:hAnsi="Times New Roman" w:cs="Times New Roman"/>
              </w:rPr>
              <w:t>项目产生噪声的设备主要为</w:t>
            </w:r>
            <w:r>
              <w:rPr>
                <w:rFonts w:hint="eastAsia" w:ascii="Times New Roman" w:hAnsi="Times New Roman" w:cs="Times New Roman"/>
                <w:color w:val="auto"/>
                <w:lang w:eastAsia="zh-CN"/>
              </w:rPr>
              <w:t>生产设备产生的机械噪声</w:t>
            </w:r>
            <w:r>
              <w:rPr>
                <w:rFonts w:hint="default" w:ascii="Times New Roman" w:hAnsi="Times New Roman" w:cs="Times New Roman"/>
                <w:color w:val="auto"/>
              </w:rPr>
              <w:t>，噪声源强为</w:t>
            </w:r>
            <w:r>
              <w:rPr>
                <w:rFonts w:hint="eastAsia" w:ascii="Times New Roman" w:hAnsi="Times New Roman" w:cs="Times New Roman"/>
                <w:color w:val="auto"/>
                <w:lang w:val="en-US" w:eastAsia="zh-CN"/>
              </w:rPr>
              <w:t>75</w:t>
            </w:r>
            <w:r>
              <w:rPr>
                <w:rFonts w:hint="default" w:ascii="Times New Roman" w:hAnsi="Times New Roman" w:cs="Times New Roman"/>
                <w:color w:val="auto"/>
              </w:rPr>
              <w:t>-</w:t>
            </w:r>
            <w:r>
              <w:rPr>
                <w:rFonts w:hint="eastAsia" w:ascii="Times New Roman" w:hAnsi="Times New Roman" w:cs="Times New Roman"/>
                <w:color w:val="auto"/>
                <w:lang w:val="en-US" w:eastAsia="zh-CN"/>
              </w:rPr>
              <w:t>80</w:t>
            </w:r>
            <w:r>
              <w:rPr>
                <w:rFonts w:hint="default" w:ascii="Times New Roman" w:hAnsi="Times New Roman" w:cs="Times New Roman"/>
                <w:color w:val="auto"/>
              </w:rPr>
              <w:t>dB(A)之间</w:t>
            </w:r>
            <w:r>
              <w:rPr>
                <w:rFonts w:hint="default" w:ascii="Times New Roman" w:hAnsi="Times New Roman" w:cs="Times New Roman"/>
              </w:rPr>
              <w:t>。</w:t>
            </w:r>
          </w:p>
          <w:p>
            <w:pPr>
              <w:pStyle w:val="49"/>
              <w:spacing w:line="240" w:lineRule="auto"/>
              <w:ind w:firstLine="0" w:firstLineChars="0"/>
              <w:jc w:val="center"/>
              <w:rPr>
                <w:rFonts w:hint="default" w:ascii="Times New Roman" w:hAnsi="Times New Roman" w:cs="Times New Roman"/>
                <w:b/>
                <w:bCs/>
                <w:snapToGrid w:val="0"/>
                <w:sz w:val="21"/>
                <w:szCs w:val="21"/>
              </w:rPr>
            </w:pPr>
            <w:r>
              <w:rPr>
                <w:rFonts w:hint="default" w:ascii="Times New Roman" w:hAnsi="Times New Roman" w:cs="Times New Roman"/>
                <w:b/>
                <w:bCs/>
                <w:snapToGrid w:val="0"/>
                <w:sz w:val="21"/>
                <w:szCs w:val="21"/>
              </w:rPr>
              <w:t>表4-</w:t>
            </w:r>
            <w:r>
              <w:rPr>
                <w:rFonts w:hint="eastAsia" w:ascii="Times New Roman" w:hAnsi="Times New Roman" w:cs="Times New Roman"/>
                <w:b/>
                <w:bCs/>
                <w:snapToGrid w:val="0"/>
                <w:sz w:val="21"/>
                <w:szCs w:val="21"/>
                <w:lang w:val="en-US" w:eastAsia="zh-CN"/>
              </w:rPr>
              <w:t>7</w:t>
            </w:r>
            <w:r>
              <w:rPr>
                <w:rFonts w:hint="default" w:ascii="Times New Roman" w:hAnsi="Times New Roman" w:cs="Times New Roman"/>
                <w:b/>
                <w:bCs/>
                <w:snapToGrid w:val="0"/>
                <w:sz w:val="21"/>
                <w:szCs w:val="21"/>
              </w:rPr>
              <w:t xml:space="preserve">  噪声源强及排放情况一览表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3"/>
              <w:gridCol w:w="1978"/>
              <w:gridCol w:w="1431"/>
              <w:gridCol w:w="825"/>
              <w:gridCol w:w="705"/>
              <w:gridCol w:w="720"/>
              <w:gridCol w:w="525"/>
              <w:gridCol w:w="574"/>
              <w:gridCol w:w="801"/>
              <w:gridCol w:w="636"/>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4" w:type="pct"/>
                  <w:vMerge w:val="restar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工序/生产线</w:t>
                  </w:r>
                </w:p>
              </w:tc>
              <w:tc>
                <w:tcPr>
                  <w:tcW w:w="1042" w:type="pct"/>
                  <w:vMerge w:val="restar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装置</w:t>
                  </w:r>
                </w:p>
              </w:tc>
              <w:tc>
                <w:tcPr>
                  <w:tcW w:w="754" w:type="pct"/>
                  <w:vMerge w:val="restar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噪声源</w:t>
                  </w:r>
                </w:p>
              </w:tc>
              <w:tc>
                <w:tcPr>
                  <w:tcW w:w="434" w:type="pct"/>
                  <w:vMerge w:val="restar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声源类型</w:t>
                  </w:r>
                </w:p>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（频发、偶发等）</w:t>
                  </w:r>
                </w:p>
              </w:tc>
              <w:tc>
                <w:tcPr>
                  <w:tcW w:w="751" w:type="pct"/>
                  <w:gridSpan w:val="2"/>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噪声源强</w:t>
                  </w:r>
                </w:p>
              </w:tc>
              <w:tc>
                <w:tcPr>
                  <w:tcW w:w="579" w:type="pct"/>
                  <w:gridSpan w:val="2"/>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降噪措施</w:t>
                  </w:r>
                </w:p>
              </w:tc>
              <w:tc>
                <w:tcPr>
                  <w:tcW w:w="757" w:type="pct"/>
                  <w:gridSpan w:val="2"/>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噪声排放值</w:t>
                  </w:r>
                </w:p>
              </w:tc>
              <w:tc>
                <w:tcPr>
                  <w:tcW w:w="324" w:type="pct"/>
                  <w:vMerge w:val="restar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持续时间（h/d）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4" w:type="pct"/>
                  <w:vMerge w:val="continue"/>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p>
              </w:tc>
              <w:tc>
                <w:tcPr>
                  <w:tcW w:w="1042" w:type="pct"/>
                  <w:vMerge w:val="continue"/>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p>
              </w:tc>
              <w:tc>
                <w:tcPr>
                  <w:tcW w:w="754" w:type="pct"/>
                  <w:vMerge w:val="continue"/>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p>
              </w:tc>
              <w:tc>
                <w:tcPr>
                  <w:tcW w:w="434" w:type="pct"/>
                  <w:vMerge w:val="continue"/>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p>
              </w:tc>
              <w:tc>
                <w:tcPr>
                  <w:tcW w:w="371"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核算</w:t>
                  </w:r>
                </w:p>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方法</w:t>
                  </w:r>
                </w:p>
              </w:tc>
              <w:tc>
                <w:tcPr>
                  <w:tcW w:w="379"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噪声值dB</w:t>
                  </w:r>
                </w:p>
              </w:tc>
              <w:tc>
                <w:tcPr>
                  <w:tcW w:w="276"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工艺</w:t>
                  </w:r>
                </w:p>
              </w:tc>
              <w:tc>
                <w:tcPr>
                  <w:tcW w:w="30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降噪效果dB</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核算方法</w:t>
                  </w:r>
                </w:p>
              </w:tc>
              <w:tc>
                <w:tcPr>
                  <w:tcW w:w="335"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噪声值dB</w:t>
                  </w:r>
                </w:p>
              </w:tc>
              <w:tc>
                <w:tcPr>
                  <w:tcW w:w="324" w:type="pct"/>
                  <w:vMerge w:val="continue"/>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4" w:type="pct"/>
                  <w:vMerge w:val="restar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eastAsia="zh-CN"/>
                    </w:rPr>
                  </w:pPr>
                  <w:r>
                    <w:rPr>
                      <w:rFonts w:hint="eastAsia" w:cs="Times New Roman"/>
                      <w:kern w:val="0"/>
                      <w:sz w:val="18"/>
                      <w:szCs w:val="18"/>
                      <w:lang w:eastAsia="zh-CN"/>
                    </w:rPr>
                    <w:t>可降解生物颗粒生产线</w:t>
                  </w:r>
                </w:p>
              </w:tc>
              <w:tc>
                <w:tcPr>
                  <w:tcW w:w="10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18"/>
                      <w:szCs w:val="18"/>
                      <w:lang w:val="en-US" w:eastAsia="zh-CN" w:bidi="he-IL"/>
                    </w:rPr>
                  </w:pPr>
                  <w:r>
                    <w:rPr>
                      <w:rFonts w:hint="eastAsia" w:eastAsia="黑体"/>
                      <w:spacing w:val="-5"/>
                      <w:kern w:val="0"/>
                      <w:sz w:val="18"/>
                      <w:szCs w:val="18"/>
                      <w:lang w:bidi="he-IL"/>
                    </w:rPr>
                    <w:t>500升混料机</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cs="Times New Roman"/>
                      <w:color w:val="000000"/>
                      <w:kern w:val="0"/>
                      <w:sz w:val="18"/>
                      <w:szCs w:val="18"/>
                      <w:lang w:eastAsia="zh-CN"/>
                    </w:rPr>
                  </w:pPr>
                  <w:r>
                    <w:rPr>
                      <w:rFonts w:hint="eastAsia" w:eastAsia="黑体"/>
                      <w:spacing w:val="-5"/>
                      <w:kern w:val="0"/>
                      <w:sz w:val="18"/>
                      <w:szCs w:val="18"/>
                      <w:lang w:bidi="he-IL"/>
                    </w:rPr>
                    <w:t>500升混料机</w:t>
                  </w:r>
                </w:p>
              </w:tc>
              <w:tc>
                <w:tcPr>
                  <w:tcW w:w="434" w:type="pct"/>
                  <w:vAlign w:val="center"/>
                </w:tcPr>
                <w:p>
                  <w:pPr>
                    <w:widowControl/>
                    <w:adjustRightInd w:val="0"/>
                    <w:snapToGrid w:val="0"/>
                    <w:spacing w:line="240" w:lineRule="auto"/>
                    <w:ind w:firstLine="0" w:firstLineChars="0"/>
                    <w:jc w:val="center"/>
                    <w:textAlignment w:val="bottom"/>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371" w:type="pct"/>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79" w:type="pct"/>
                  <w:vAlign w:val="center"/>
                </w:tcPr>
                <w:p>
                  <w:pPr>
                    <w:keepNext/>
                    <w:keepLines/>
                    <w:widowControl/>
                    <w:spacing w:line="240" w:lineRule="auto"/>
                    <w:ind w:firstLine="0" w:firstLineChars="0"/>
                    <w:jc w:val="center"/>
                    <w:rPr>
                      <w:rFonts w:hint="default" w:ascii="Times New Roman" w:hAnsi="Times New Roman" w:eastAsia="宋体" w:cs="Times New Roman"/>
                      <w:bCs/>
                      <w:color w:val="auto"/>
                      <w:kern w:val="0"/>
                      <w:sz w:val="21"/>
                      <w:szCs w:val="21"/>
                      <w:lang w:val="en-US" w:eastAsia="zh-CN" w:bidi="ar"/>
                    </w:rPr>
                  </w:pPr>
                  <w:r>
                    <w:rPr>
                      <w:rFonts w:hint="eastAsia" w:cs="Times New Roman"/>
                      <w:bCs/>
                      <w:color w:val="auto"/>
                      <w:kern w:val="0"/>
                      <w:sz w:val="21"/>
                      <w:szCs w:val="21"/>
                      <w:lang w:val="en-US" w:eastAsia="zh-CN" w:bidi="ar"/>
                    </w:rPr>
                    <w:t>60~65</w:t>
                  </w:r>
                </w:p>
              </w:tc>
              <w:tc>
                <w:tcPr>
                  <w:tcW w:w="276" w:type="pct"/>
                  <w:vMerge w:val="restar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厂房隔声、减振、消声等综合降噪措施</w:t>
                  </w:r>
                </w:p>
              </w:tc>
              <w:tc>
                <w:tcPr>
                  <w:tcW w:w="302" w:type="pct"/>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5"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40~45</w:t>
                  </w:r>
                </w:p>
              </w:tc>
              <w:tc>
                <w:tcPr>
                  <w:tcW w:w="324"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4" w:type="pct"/>
                  <w:vMerge w:val="continue"/>
                  <w:vAlign w:val="center"/>
                </w:tcPr>
                <w:p>
                  <w:pPr>
                    <w:adjustRightInd w:val="0"/>
                    <w:snapToGrid w:val="0"/>
                    <w:spacing w:line="240" w:lineRule="auto"/>
                    <w:ind w:firstLine="0" w:firstLineChars="0"/>
                    <w:jc w:val="center"/>
                    <w:rPr>
                      <w:rFonts w:hint="eastAsia" w:cs="Times New Roman"/>
                      <w:kern w:val="0"/>
                      <w:sz w:val="18"/>
                      <w:szCs w:val="18"/>
                      <w:lang w:eastAsia="zh-CN"/>
                    </w:rPr>
                  </w:pPr>
                </w:p>
              </w:tc>
              <w:tc>
                <w:tcPr>
                  <w:tcW w:w="10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黑体" w:cs="Times New Roman"/>
                      <w:spacing w:val="-5"/>
                      <w:kern w:val="0"/>
                      <w:sz w:val="18"/>
                      <w:szCs w:val="18"/>
                      <w:lang w:val="en-US" w:eastAsia="zh-CN" w:bidi="he-IL"/>
                    </w:rPr>
                  </w:pPr>
                  <w:r>
                    <w:rPr>
                      <w:rFonts w:hint="eastAsia" w:eastAsia="黑体"/>
                      <w:spacing w:val="-5"/>
                      <w:kern w:val="0"/>
                      <w:sz w:val="18"/>
                      <w:szCs w:val="18"/>
                      <w:lang w:bidi="he-IL"/>
                    </w:rPr>
                    <w:t>双螺杆主机</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color w:val="000000"/>
                      <w:kern w:val="0"/>
                      <w:sz w:val="18"/>
                      <w:szCs w:val="18"/>
                      <w:lang w:eastAsia="zh-CN"/>
                    </w:rPr>
                  </w:pPr>
                  <w:r>
                    <w:rPr>
                      <w:rFonts w:hint="eastAsia" w:eastAsia="黑体"/>
                      <w:spacing w:val="-5"/>
                      <w:kern w:val="0"/>
                      <w:sz w:val="18"/>
                      <w:szCs w:val="18"/>
                      <w:lang w:bidi="he-IL"/>
                    </w:rPr>
                    <w:t>双螺杆主机</w:t>
                  </w:r>
                </w:p>
              </w:tc>
              <w:tc>
                <w:tcPr>
                  <w:tcW w:w="434"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371"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79" w:type="pct"/>
                  <w:vAlign w:val="center"/>
                </w:tcPr>
                <w:p>
                  <w:pPr>
                    <w:keepNext/>
                    <w:keepLines/>
                    <w:widowControl/>
                    <w:spacing w:line="240" w:lineRule="auto"/>
                    <w:ind w:firstLine="0" w:firstLineChars="0"/>
                    <w:jc w:val="center"/>
                    <w:rPr>
                      <w:rFonts w:hint="default" w:cs="Times New Roman"/>
                      <w:bCs/>
                      <w:color w:val="auto"/>
                      <w:kern w:val="0"/>
                      <w:sz w:val="21"/>
                      <w:szCs w:val="21"/>
                      <w:lang w:val="en-US" w:eastAsia="zh-CN" w:bidi="ar"/>
                    </w:rPr>
                  </w:pPr>
                  <w:r>
                    <w:rPr>
                      <w:rFonts w:hint="eastAsia" w:cs="Times New Roman"/>
                      <w:bCs/>
                      <w:color w:val="auto"/>
                      <w:kern w:val="0"/>
                      <w:sz w:val="21"/>
                      <w:szCs w:val="21"/>
                      <w:lang w:val="en-US" w:eastAsia="zh-CN" w:bidi="ar"/>
                    </w:rPr>
                    <w:t>65~70</w:t>
                  </w:r>
                </w:p>
              </w:tc>
              <w:tc>
                <w:tcPr>
                  <w:tcW w:w="27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0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5" w:type="pct"/>
                  <w:vAlign w:val="center"/>
                </w:tcPr>
                <w:p>
                  <w:pPr>
                    <w:adjustRightInd w:val="0"/>
                    <w:snapToGrid w:val="0"/>
                    <w:spacing w:line="240" w:lineRule="auto"/>
                    <w:ind w:firstLine="0" w:firstLineChars="0"/>
                    <w:jc w:val="center"/>
                    <w:rPr>
                      <w:rFonts w:hint="default" w:cs="Times New Roman"/>
                      <w:kern w:val="0"/>
                      <w:sz w:val="18"/>
                      <w:szCs w:val="18"/>
                      <w:lang w:val="en-US" w:eastAsia="zh-CN"/>
                    </w:rPr>
                  </w:pPr>
                  <w:r>
                    <w:rPr>
                      <w:rFonts w:hint="eastAsia" w:cs="Times New Roman"/>
                      <w:kern w:val="0"/>
                      <w:sz w:val="18"/>
                      <w:szCs w:val="18"/>
                      <w:lang w:val="en-US" w:eastAsia="zh-CN"/>
                    </w:rPr>
                    <w:t>45~50</w:t>
                  </w:r>
                </w:p>
              </w:tc>
              <w:tc>
                <w:tcPr>
                  <w:tcW w:w="3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kern w:val="0"/>
                      <w:sz w:val="18"/>
                      <w:szCs w:val="18"/>
                      <w:lang w:val="en-US" w:eastAsia="zh-CN"/>
                    </w:rPr>
                  </w:pPr>
                  <w:r>
                    <w:rPr>
                      <w:rFonts w:hint="eastAsia"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4" w:type="pct"/>
                  <w:vMerge w:val="continue"/>
                  <w:vAlign w:val="center"/>
                </w:tcPr>
                <w:p>
                  <w:pPr>
                    <w:adjustRightInd w:val="0"/>
                    <w:snapToGrid w:val="0"/>
                    <w:spacing w:line="240" w:lineRule="auto"/>
                    <w:ind w:firstLine="0" w:firstLineChars="0"/>
                    <w:jc w:val="center"/>
                    <w:rPr>
                      <w:rFonts w:hint="default" w:cs="Times New Roman"/>
                      <w:kern w:val="0"/>
                      <w:sz w:val="18"/>
                      <w:szCs w:val="18"/>
                      <w:lang w:val="en-US" w:eastAsia="zh-CN"/>
                    </w:rPr>
                  </w:pPr>
                </w:p>
              </w:tc>
              <w:tc>
                <w:tcPr>
                  <w:tcW w:w="10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黑体" w:cs="Times New Roman"/>
                      <w:spacing w:val="-5"/>
                      <w:kern w:val="0"/>
                      <w:sz w:val="18"/>
                      <w:szCs w:val="18"/>
                      <w:lang w:val="en-US" w:eastAsia="zh-CN" w:bidi="he-IL"/>
                    </w:rPr>
                  </w:pPr>
                  <w:r>
                    <w:rPr>
                      <w:rFonts w:hint="eastAsia" w:eastAsia="黑体"/>
                      <w:spacing w:val="-5"/>
                      <w:kern w:val="0"/>
                      <w:sz w:val="18"/>
                      <w:szCs w:val="18"/>
                      <w:lang w:bidi="he-IL"/>
                    </w:rPr>
                    <w:t>30米不锈钢输送带</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color w:val="000000"/>
                      <w:kern w:val="0"/>
                      <w:sz w:val="18"/>
                      <w:szCs w:val="18"/>
                      <w:lang w:val="en-US" w:eastAsia="zh-CN"/>
                    </w:rPr>
                  </w:pPr>
                  <w:r>
                    <w:rPr>
                      <w:rFonts w:hint="eastAsia" w:eastAsia="黑体"/>
                      <w:spacing w:val="-5"/>
                      <w:kern w:val="0"/>
                      <w:sz w:val="18"/>
                      <w:szCs w:val="18"/>
                      <w:lang w:bidi="he-IL"/>
                    </w:rPr>
                    <w:t>30米不锈钢输送带</w:t>
                  </w:r>
                </w:p>
              </w:tc>
              <w:tc>
                <w:tcPr>
                  <w:tcW w:w="434"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371"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79" w:type="pct"/>
                  <w:vAlign w:val="center"/>
                </w:tcPr>
                <w:p>
                  <w:pPr>
                    <w:keepNext/>
                    <w:keepLines/>
                    <w:widowControl/>
                    <w:spacing w:line="240" w:lineRule="auto"/>
                    <w:ind w:firstLine="0" w:firstLineChars="0"/>
                    <w:jc w:val="center"/>
                    <w:rPr>
                      <w:rFonts w:hint="default" w:cs="Times New Roman"/>
                      <w:bCs/>
                      <w:color w:val="auto"/>
                      <w:kern w:val="0"/>
                      <w:sz w:val="21"/>
                      <w:szCs w:val="21"/>
                      <w:lang w:val="en-US" w:eastAsia="zh-CN" w:bidi="ar"/>
                    </w:rPr>
                  </w:pPr>
                  <w:r>
                    <w:rPr>
                      <w:rFonts w:hint="eastAsia" w:cs="Times New Roman"/>
                      <w:bCs/>
                      <w:color w:val="auto"/>
                      <w:kern w:val="0"/>
                      <w:sz w:val="21"/>
                      <w:szCs w:val="21"/>
                      <w:lang w:val="en-US" w:eastAsia="zh-CN" w:bidi="ar"/>
                    </w:rPr>
                    <w:t>60~65</w:t>
                  </w:r>
                </w:p>
              </w:tc>
              <w:tc>
                <w:tcPr>
                  <w:tcW w:w="27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0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5" w:type="pct"/>
                  <w:vAlign w:val="center"/>
                </w:tcPr>
                <w:p>
                  <w:pPr>
                    <w:adjustRightInd w:val="0"/>
                    <w:snapToGrid w:val="0"/>
                    <w:spacing w:line="240" w:lineRule="auto"/>
                    <w:ind w:firstLine="0" w:firstLineChars="0"/>
                    <w:jc w:val="center"/>
                    <w:rPr>
                      <w:rFonts w:hint="eastAsia" w:cs="Times New Roman"/>
                      <w:kern w:val="0"/>
                      <w:sz w:val="18"/>
                      <w:szCs w:val="18"/>
                      <w:lang w:val="en-US" w:eastAsia="zh-CN"/>
                    </w:rPr>
                  </w:pPr>
                  <w:r>
                    <w:rPr>
                      <w:rFonts w:hint="eastAsia" w:cs="Times New Roman"/>
                      <w:kern w:val="0"/>
                      <w:sz w:val="18"/>
                      <w:szCs w:val="18"/>
                      <w:lang w:val="en-US" w:eastAsia="zh-CN"/>
                    </w:rPr>
                    <w:t>40~45</w:t>
                  </w:r>
                </w:p>
              </w:tc>
              <w:tc>
                <w:tcPr>
                  <w:tcW w:w="3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kern w:val="0"/>
                      <w:sz w:val="18"/>
                      <w:szCs w:val="18"/>
                      <w:lang w:val="en-US" w:eastAsia="zh-CN"/>
                    </w:rPr>
                  </w:pPr>
                  <w:r>
                    <w:rPr>
                      <w:rFonts w:hint="eastAsia"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4" w:type="pct"/>
                  <w:vMerge w:val="continue"/>
                  <w:vAlign w:val="center"/>
                </w:tcPr>
                <w:p>
                  <w:pPr>
                    <w:adjustRightInd w:val="0"/>
                    <w:snapToGrid w:val="0"/>
                    <w:spacing w:line="240" w:lineRule="auto"/>
                    <w:ind w:firstLine="0" w:firstLineChars="0"/>
                    <w:jc w:val="center"/>
                    <w:rPr>
                      <w:rFonts w:hint="default" w:cs="Times New Roman"/>
                      <w:kern w:val="0"/>
                      <w:sz w:val="18"/>
                      <w:szCs w:val="18"/>
                      <w:lang w:val="en-US" w:eastAsia="zh-CN"/>
                    </w:rPr>
                  </w:pPr>
                </w:p>
              </w:tc>
              <w:tc>
                <w:tcPr>
                  <w:tcW w:w="10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黑体" w:cs="Times New Roman"/>
                      <w:spacing w:val="-5"/>
                      <w:kern w:val="0"/>
                      <w:sz w:val="18"/>
                      <w:szCs w:val="18"/>
                      <w:lang w:val="en-US" w:eastAsia="zh-CN" w:bidi="he-IL"/>
                    </w:rPr>
                  </w:pPr>
                  <w:r>
                    <w:rPr>
                      <w:rFonts w:hint="eastAsia" w:eastAsia="黑体"/>
                      <w:spacing w:val="-5"/>
                      <w:kern w:val="0"/>
                      <w:sz w:val="18"/>
                      <w:szCs w:val="18"/>
                      <w:lang w:bidi="he-IL"/>
                    </w:rPr>
                    <w:t>切粒机</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color w:val="000000"/>
                      <w:kern w:val="0"/>
                      <w:sz w:val="18"/>
                      <w:szCs w:val="18"/>
                      <w:lang w:val="en-US" w:eastAsia="zh-CN"/>
                    </w:rPr>
                  </w:pPr>
                  <w:r>
                    <w:rPr>
                      <w:rFonts w:hint="eastAsia" w:eastAsia="黑体"/>
                      <w:spacing w:val="-5"/>
                      <w:kern w:val="0"/>
                      <w:sz w:val="18"/>
                      <w:szCs w:val="18"/>
                      <w:lang w:bidi="he-IL"/>
                    </w:rPr>
                    <w:t>切粒机</w:t>
                  </w:r>
                </w:p>
              </w:tc>
              <w:tc>
                <w:tcPr>
                  <w:tcW w:w="434"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371"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79" w:type="pct"/>
                  <w:vAlign w:val="center"/>
                </w:tcPr>
                <w:p>
                  <w:pPr>
                    <w:keepNext/>
                    <w:keepLines/>
                    <w:widowControl/>
                    <w:spacing w:line="240" w:lineRule="auto"/>
                    <w:ind w:firstLine="0" w:firstLineChars="0"/>
                    <w:jc w:val="center"/>
                    <w:rPr>
                      <w:rFonts w:hint="eastAsia" w:cs="Times New Roman"/>
                      <w:bCs/>
                      <w:color w:val="auto"/>
                      <w:kern w:val="0"/>
                      <w:sz w:val="21"/>
                      <w:szCs w:val="21"/>
                      <w:lang w:val="en-US" w:eastAsia="zh-CN" w:bidi="ar"/>
                    </w:rPr>
                  </w:pPr>
                  <w:r>
                    <w:rPr>
                      <w:rFonts w:hint="eastAsia" w:cs="Times New Roman"/>
                      <w:bCs/>
                      <w:color w:val="auto"/>
                      <w:kern w:val="0"/>
                      <w:sz w:val="21"/>
                      <w:szCs w:val="21"/>
                      <w:lang w:val="en-US" w:eastAsia="zh-CN" w:bidi="ar"/>
                    </w:rPr>
                    <w:t>65~70</w:t>
                  </w:r>
                </w:p>
              </w:tc>
              <w:tc>
                <w:tcPr>
                  <w:tcW w:w="27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02" w:type="pct"/>
                  <w:vAlign w:val="center"/>
                </w:tcPr>
                <w:p>
                  <w:pPr>
                    <w:adjustRightInd w:val="0"/>
                    <w:snapToGrid w:val="0"/>
                    <w:spacing w:line="240" w:lineRule="auto"/>
                    <w:ind w:firstLine="0" w:firstLineChars="0"/>
                    <w:jc w:val="center"/>
                    <w:rPr>
                      <w:rFonts w:hint="default" w:ascii="Times New Roman" w:hAnsi="Times New Roman" w:eastAsia="宋体" w:cs="Times New Roman"/>
                      <w:kern w:val="0"/>
                      <w:sz w:val="18"/>
                      <w:szCs w:val="18"/>
                      <w:lang w:val="en-US" w:eastAsia="zh-CN"/>
                    </w:rPr>
                  </w:pPr>
                  <w:r>
                    <w:rPr>
                      <w:rFonts w:hint="eastAsia" w:cs="Times New Roman"/>
                      <w:kern w:val="0"/>
                      <w:sz w:val="18"/>
                      <w:szCs w:val="18"/>
                      <w:lang w:val="en-US" w:eastAsia="zh-CN"/>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5" w:type="pct"/>
                  <w:vAlign w:val="center"/>
                </w:tcPr>
                <w:p>
                  <w:pPr>
                    <w:adjustRightInd w:val="0"/>
                    <w:snapToGrid w:val="0"/>
                    <w:spacing w:line="240" w:lineRule="auto"/>
                    <w:ind w:firstLine="0" w:firstLineChars="0"/>
                    <w:jc w:val="center"/>
                    <w:rPr>
                      <w:rFonts w:hint="default" w:cs="Times New Roman"/>
                      <w:kern w:val="0"/>
                      <w:sz w:val="18"/>
                      <w:szCs w:val="18"/>
                      <w:lang w:val="en-US" w:eastAsia="zh-CN"/>
                    </w:rPr>
                  </w:pPr>
                  <w:r>
                    <w:rPr>
                      <w:rFonts w:hint="eastAsia" w:cs="Times New Roman"/>
                      <w:kern w:val="0"/>
                      <w:sz w:val="18"/>
                      <w:szCs w:val="18"/>
                      <w:lang w:val="en-US" w:eastAsia="zh-CN"/>
                    </w:rPr>
                    <w:t>45~50</w:t>
                  </w:r>
                </w:p>
              </w:tc>
              <w:tc>
                <w:tcPr>
                  <w:tcW w:w="3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kern w:val="0"/>
                      <w:sz w:val="18"/>
                      <w:szCs w:val="18"/>
                      <w:lang w:val="en-US" w:eastAsia="zh-CN"/>
                    </w:rPr>
                  </w:pPr>
                  <w:r>
                    <w:rPr>
                      <w:rFonts w:hint="eastAsia"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4" w:type="pct"/>
                  <w:vMerge w:val="continue"/>
                  <w:vAlign w:val="center"/>
                </w:tcPr>
                <w:p>
                  <w:pPr>
                    <w:adjustRightInd w:val="0"/>
                    <w:snapToGrid w:val="0"/>
                    <w:spacing w:line="240" w:lineRule="auto"/>
                    <w:ind w:firstLine="0" w:firstLineChars="0"/>
                    <w:jc w:val="center"/>
                    <w:rPr>
                      <w:rFonts w:hint="default" w:cs="Times New Roman"/>
                      <w:kern w:val="0"/>
                      <w:sz w:val="18"/>
                      <w:szCs w:val="18"/>
                      <w:lang w:val="en-US" w:eastAsia="zh-CN"/>
                    </w:rPr>
                  </w:pPr>
                </w:p>
              </w:tc>
              <w:tc>
                <w:tcPr>
                  <w:tcW w:w="10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黑体" w:cs="Times New Roman"/>
                      <w:spacing w:val="-5"/>
                      <w:kern w:val="0"/>
                      <w:sz w:val="18"/>
                      <w:szCs w:val="18"/>
                      <w:lang w:val="en-US" w:eastAsia="zh-CN" w:bidi="he-IL"/>
                    </w:rPr>
                  </w:pPr>
                  <w:r>
                    <w:rPr>
                      <w:rFonts w:hint="eastAsia" w:eastAsia="黑体"/>
                      <w:spacing w:val="-5"/>
                      <w:kern w:val="0"/>
                      <w:sz w:val="18"/>
                      <w:szCs w:val="18"/>
                      <w:lang w:bidi="he-IL"/>
                    </w:rPr>
                    <w:t>振动筛</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color w:val="000000"/>
                      <w:kern w:val="0"/>
                      <w:sz w:val="18"/>
                      <w:szCs w:val="18"/>
                      <w:lang w:val="en-US" w:eastAsia="zh-CN"/>
                    </w:rPr>
                  </w:pPr>
                  <w:r>
                    <w:rPr>
                      <w:rFonts w:hint="eastAsia" w:eastAsia="黑体"/>
                      <w:spacing w:val="-5"/>
                      <w:kern w:val="0"/>
                      <w:sz w:val="18"/>
                      <w:szCs w:val="18"/>
                      <w:lang w:bidi="he-IL"/>
                    </w:rPr>
                    <w:t>振动筛</w:t>
                  </w:r>
                </w:p>
              </w:tc>
              <w:tc>
                <w:tcPr>
                  <w:tcW w:w="434"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371"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79" w:type="pct"/>
                  <w:vAlign w:val="center"/>
                </w:tcPr>
                <w:p>
                  <w:pPr>
                    <w:keepNext/>
                    <w:keepLines/>
                    <w:widowControl/>
                    <w:spacing w:line="240" w:lineRule="auto"/>
                    <w:ind w:firstLine="0" w:firstLineChars="0"/>
                    <w:jc w:val="center"/>
                    <w:rPr>
                      <w:rFonts w:hint="default" w:cs="Times New Roman"/>
                      <w:bCs/>
                      <w:color w:val="auto"/>
                      <w:kern w:val="0"/>
                      <w:sz w:val="21"/>
                      <w:szCs w:val="21"/>
                      <w:lang w:val="en-US" w:eastAsia="zh-CN" w:bidi="ar"/>
                    </w:rPr>
                  </w:pPr>
                  <w:r>
                    <w:rPr>
                      <w:rFonts w:hint="eastAsia" w:cs="Times New Roman"/>
                      <w:bCs/>
                      <w:color w:val="auto"/>
                      <w:kern w:val="0"/>
                      <w:sz w:val="21"/>
                      <w:szCs w:val="21"/>
                      <w:lang w:val="en-US" w:eastAsia="zh-CN" w:bidi="ar"/>
                    </w:rPr>
                    <w:t>70~75</w:t>
                  </w:r>
                </w:p>
              </w:tc>
              <w:tc>
                <w:tcPr>
                  <w:tcW w:w="27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02" w:type="pct"/>
                  <w:vAlign w:val="center"/>
                </w:tcPr>
                <w:p>
                  <w:pPr>
                    <w:adjustRightInd w:val="0"/>
                    <w:snapToGrid w:val="0"/>
                    <w:spacing w:line="240" w:lineRule="auto"/>
                    <w:ind w:firstLine="0" w:firstLineChars="0"/>
                    <w:jc w:val="center"/>
                    <w:rPr>
                      <w:rFonts w:hint="eastAsia" w:cs="Times New Roman"/>
                      <w:kern w:val="0"/>
                      <w:sz w:val="18"/>
                      <w:szCs w:val="18"/>
                      <w:lang w:val="en-US" w:eastAsia="zh-CN"/>
                    </w:rPr>
                  </w:pPr>
                  <w:r>
                    <w:rPr>
                      <w:rFonts w:hint="eastAsia" w:cs="Times New Roman"/>
                      <w:kern w:val="0"/>
                      <w:sz w:val="18"/>
                      <w:szCs w:val="18"/>
                      <w:lang w:val="en-US" w:eastAsia="zh-CN"/>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5" w:type="pct"/>
                  <w:vAlign w:val="center"/>
                </w:tcPr>
                <w:p>
                  <w:pPr>
                    <w:adjustRightInd w:val="0"/>
                    <w:snapToGrid w:val="0"/>
                    <w:spacing w:line="240" w:lineRule="auto"/>
                    <w:ind w:firstLine="0" w:firstLineChars="0"/>
                    <w:jc w:val="center"/>
                    <w:rPr>
                      <w:rFonts w:hint="default" w:cs="Times New Roman"/>
                      <w:kern w:val="0"/>
                      <w:sz w:val="18"/>
                      <w:szCs w:val="18"/>
                      <w:lang w:val="en-US" w:eastAsia="zh-CN"/>
                    </w:rPr>
                  </w:pPr>
                  <w:r>
                    <w:rPr>
                      <w:rFonts w:hint="eastAsia" w:cs="Times New Roman"/>
                      <w:kern w:val="0"/>
                      <w:sz w:val="18"/>
                      <w:szCs w:val="18"/>
                      <w:lang w:val="en-US" w:eastAsia="zh-CN"/>
                    </w:rPr>
                    <w:t>50~55</w:t>
                  </w:r>
                </w:p>
              </w:tc>
              <w:tc>
                <w:tcPr>
                  <w:tcW w:w="3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kern w:val="0"/>
                      <w:sz w:val="18"/>
                      <w:szCs w:val="18"/>
                      <w:lang w:val="en-US" w:eastAsia="zh-CN"/>
                    </w:rPr>
                  </w:pPr>
                  <w:r>
                    <w:rPr>
                      <w:rFonts w:hint="eastAsia"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4" w:type="pct"/>
                  <w:vMerge w:val="continue"/>
                  <w:vAlign w:val="center"/>
                </w:tcPr>
                <w:p>
                  <w:pPr>
                    <w:adjustRightInd w:val="0"/>
                    <w:snapToGrid w:val="0"/>
                    <w:spacing w:line="240" w:lineRule="auto"/>
                    <w:ind w:firstLine="0" w:firstLineChars="0"/>
                    <w:jc w:val="center"/>
                    <w:rPr>
                      <w:rFonts w:hint="default" w:cs="Times New Roman"/>
                      <w:kern w:val="0"/>
                      <w:sz w:val="18"/>
                      <w:szCs w:val="18"/>
                      <w:lang w:val="en-US" w:eastAsia="zh-CN"/>
                    </w:rPr>
                  </w:pPr>
                </w:p>
              </w:tc>
              <w:tc>
                <w:tcPr>
                  <w:tcW w:w="10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黑体" w:cs="Times New Roman"/>
                      <w:spacing w:val="-5"/>
                      <w:kern w:val="0"/>
                      <w:sz w:val="18"/>
                      <w:szCs w:val="18"/>
                      <w:lang w:val="en-US" w:eastAsia="zh-CN" w:bidi="he-IL"/>
                    </w:rPr>
                  </w:pPr>
                  <w:r>
                    <w:rPr>
                      <w:rFonts w:hint="eastAsia" w:eastAsia="黑体"/>
                      <w:spacing w:val="-5"/>
                      <w:kern w:val="0"/>
                      <w:sz w:val="18"/>
                      <w:szCs w:val="18"/>
                      <w:lang w:bidi="he-IL"/>
                    </w:rPr>
                    <w:t>包装机</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color w:val="000000"/>
                      <w:kern w:val="0"/>
                      <w:sz w:val="18"/>
                      <w:szCs w:val="18"/>
                      <w:lang w:val="en-US" w:eastAsia="zh-CN"/>
                    </w:rPr>
                  </w:pPr>
                  <w:r>
                    <w:rPr>
                      <w:rFonts w:hint="eastAsia" w:eastAsia="黑体"/>
                      <w:spacing w:val="-5"/>
                      <w:kern w:val="0"/>
                      <w:sz w:val="18"/>
                      <w:szCs w:val="18"/>
                      <w:lang w:bidi="he-IL"/>
                    </w:rPr>
                    <w:t>包装机</w:t>
                  </w:r>
                </w:p>
              </w:tc>
              <w:tc>
                <w:tcPr>
                  <w:tcW w:w="434"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371"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79" w:type="pct"/>
                  <w:vAlign w:val="center"/>
                </w:tcPr>
                <w:p>
                  <w:pPr>
                    <w:keepNext/>
                    <w:keepLines/>
                    <w:widowControl/>
                    <w:spacing w:line="240" w:lineRule="auto"/>
                    <w:ind w:firstLine="0" w:firstLineChars="0"/>
                    <w:jc w:val="center"/>
                    <w:rPr>
                      <w:rFonts w:hint="eastAsia" w:cs="Times New Roman"/>
                      <w:bCs/>
                      <w:color w:val="auto"/>
                      <w:kern w:val="0"/>
                      <w:sz w:val="21"/>
                      <w:szCs w:val="21"/>
                      <w:lang w:val="en-US" w:eastAsia="zh-CN" w:bidi="ar"/>
                    </w:rPr>
                  </w:pPr>
                  <w:r>
                    <w:rPr>
                      <w:rFonts w:hint="eastAsia" w:cs="Times New Roman"/>
                      <w:bCs/>
                      <w:color w:val="auto"/>
                      <w:kern w:val="0"/>
                      <w:sz w:val="21"/>
                      <w:szCs w:val="21"/>
                      <w:lang w:val="en-US" w:eastAsia="zh-CN" w:bidi="ar"/>
                    </w:rPr>
                    <w:t>60~65</w:t>
                  </w:r>
                </w:p>
              </w:tc>
              <w:tc>
                <w:tcPr>
                  <w:tcW w:w="27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02" w:type="pct"/>
                  <w:vAlign w:val="center"/>
                </w:tcPr>
                <w:p>
                  <w:pPr>
                    <w:adjustRightInd w:val="0"/>
                    <w:snapToGrid w:val="0"/>
                    <w:spacing w:line="240" w:lineRule="auto"/>
                    <w:ind w:firstLine="0" w:firstLineChars="0"/>
                    <w:jc w:val="center"/>
                    <w:rPr>
                      <w:rFonts w:hint="eastAsia" w:cs="Times New Roman"/>
                      <w:kern w:val="0"/>
                      <w:sz w:val="18"/>
                      <w:szCs w:val="18"/>
                      <w:lang w:val="en-US" w:eastAsia="zh-CN"/>
                    </w:rPr>
                  </w:pPr>
                  <w:r>
                    <w:rPr>
                      <w:rFonts w:hint="eastAsia" w:cs="Times New Roman"/>
                      <w:kern w:val="0"/>
                      <w:sz w:val="18"/>
                      <w:szCs w:val="18"/>
                      <w:lang w:val="en-US" w:eastAsia="zh-CN"/>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5" w:type="pct"/>
                  <w:vAlign w:val="center"/>
                </w:tcPr>
                <w:p>
                  <w:pPr>
                    <w:adjustRightInd w:val="0"/>
                    <w:snapToGrid w:val="0"/>
                    <w:spacing w:line="240" w:lineRule="auto"/>
                    <w:ind w:firstLine="0" w:firstLineChars="0"/>
                    <w:jc w:val="center"/>
                    <w:rPr>
                      <w:rFonts w:hint="eastAsia" w:cs="Times New Roman"/>
                      <w:kern w:val="0"/>
                      <w:sz w:val="18"/>
                      <w:szCs w:val="18"/>
                      <w:lang w:val="en-US" w:eastAsia="zh-CN"/>
                    </w:rPr>
                  </w:pPr>
                  <w:r>
                    <w:rPr>
                      <w:rFonts w:hint="eastAsia" w:cs="Times New Roman"/>
                      <w:kern w:val="0"/>
                      <w:sz w:val="18"/>
                      <w:szCs w:val="18"/>
                      <w:lang w:val="en-US" w:eastAsia="zh-CN"/>
                    </w:rPr>
                    <w:t>40~45</w:t>
                  </w:r>
                </w:p>
              </w:tc>
              <w:tc>
                <w:tcPr>
                  <w:tcW w:w="3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kern w:val="0"/>
                      <w:sz w:val="18"/>
                      <w:szCs w:val="18"/>
                      <w:lang w:val="en-US" w:eastAsia="zh-CN"/>
                    </w:rPr>
                  </w:pPr>
                  <w:r>
                    <w:rPr>
                      <w:rFonts w:hint="eastAsia" w:cs="Times New Roman"/>
                      <w:kern w:val="0"/>
                      <w:sz w:val="18"/>
                      <w:szCs w:val="18"/>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54" w:type="pct"/>
                  <w:vMerge w:val="continue"/>
                  <w:vAlign w:val="center"/>
                </w:tcPr>
                <w:p>
                  <w:pPr>
                    <w:adjustRightInd w:val="0"/>
                    <w:snapToGrid w:val="0"/>
                    <w:spacing w:line="240" w:lineRule="auto"/>
                    <w:ind w:firstLine="0" w:firstLineChars="0"/>
                    <w:jc w:val="center"/>
                    <w:rPr>
                      <w:rFonts w:hint="default" w:cs="Times New Roman"/>
                      <w:kern w:val="0"/>
                      <w:sz w:val="18"/>
                      <w:szCs w:val="18"/>
                      <w:lang w:val="en-US" w:eastAsia="zh-CN"/>
                    </w:rPr>
                  </w:pPr>
                </w:p>
              </w:tc>
              <w:tc>
                <w:tcPr>
                  <w:tcW w:w="1042"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黑体" w:cs="Times New Roman"/>
                      <w:spacing w:val="-5"/>
                      <w:kern w:val="0"/>
                      <w:sz w:val="18"/>
                      <w:szCs w:val="18"/>
                      <w:lang w:val="en-US" w:eastAsia="zh-CN" w:bidi="he-IL"/>
                    </w:rPr>
                  </w:pPr>
                  <w:r>
                    <w:rPr>
                      <w:rFonts w:hint="eastAsia" w:eastAsia="黑体" w:cs="Times New Roman"/>
                      <w:spacing w:val="-5"/>
                      <w:kern w:val="0"/>
                      <w:sz w:val="18"/>
                      <w:szCs w:val="18"/>
                      <w:lang w:val="en-US" w:eastAsia="zh-CN" w:bidi="he-IL"/>
                    </w:rPr>
                    <w:t>风机</w:t>
                  </w:r>
                </w:p>
              </w:tc>
              <w:tc>
                <w:tcPr>
                  <w:tcW w:w="754"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cs="Times New Roman"/>
                      <w:color w:val="000000"/>
                      <w:kern w:val="0"/>
                      <w:sz w:val="18"/>
                      <w:szCs w:val="18"/>
                      <w:lang w:val="en-US" w:eastAsia="zh-CN"/>
                    </w:rPr>
                  </w:pPr>
                  <w:r>
                    <w:rPr>
                      <w:rFonts w:hint="eastAsia" w:cs="Times New Roman"/>
                      <w:color w:val="000000"/>
                      <w:kern w:val="0"/>
                      <w:sz w:val="18"/>
                      <w:szCs w:val="18"/>
                      <w:lang w:val="en-US" w:eastAsia="zh-CN"/>
                    </w:rPr>
                    <w:t>风机</w:t>
                  </w:r>
                </w:p>
              </w:tc>
              <w:tc>
                <w:tcPr>
                  <w:tcW w:w="434"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频发</w:t>
                  </w:r>
                </w:p>
              </w:tc>
              <w:tc>
                <w:tcPr>
                  <w:tcW w:w="371" w:type="pct"/>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r>
                    <w:rPr>
                      <w:rFonts w:hint="default" w:ascii="Times New Roman" w:hAnsi="Times New Roman" w:cs="Times New Roman"/>
                      <w:color w:val="000000" w:themeColor="text1"/>
                      <w:kern w:val="0"/>
                      <w:sz w:val="18"/>
                      <w:szCs w:val="18"/>
                      <w14:textFill>
                        <w14:solidFill>
                          <w14:schemeClr w14:val="tx1"/>
                        </w14:solidFill>
                      </w14:textFill>
                    </w:rPr>
                    <w:t>类比法</w:t>
                  </w:r>
                </w:p>
              </w:tc>
              <w:tc>
                <w:tcPr>
                  <w:tcW w:w="379" w:type="pct"/>
                  <w:vAlign w:val="center"/>
                </w:tcPr>
                <w:p>
                  <w:pPr>
                    <w:keepNext/>
                    <w:keepLines/>
                    <w:widowControl/>
                    <w:spacing w:line="240" w:lineRule="auto"/>
                    <w:ind w:firstLine="0" w:firstLineChars="0"/>
                    <w:jc w:val="center"/>
                    <w:rPr>
                      <w:rFonts w:hint="default" w:cs="Times New Roman"/>
                      <w:bCs/>
                      <w:color w:val="auto"/>
                      <w:kern w:val="0"/>
                      <w:sz w:val="21"/>
                      <w:szCs w:val="21"/>
                      <w:lang w:val="en-US" w:eastAsia="zh-CN" w:bidi="ar"/>
                    </w:rPr>
                  </w:pPr>
                  <w:r>
                    <w:rPr>
                      <w:rFonts w:hint="eastAsia" w:cs="Times New Roman"/>
                      <w:bCs/>
                      <w:color w:val="auto"/>
                      <w:kern w:val="0"/>
                      <w:sz w:val="21"/>
                      <w:szCs w:val="21"/>
                      <w:lang w:val="en-US" w:eastAsia="zh-CN" w:bidi="ar"/>
                    </w:rPr>
                    <w:t>75~80</w:t>
                  </w:r>
                </w:p>
              </w:tc>
              <w:tc>
                <w:tcPr>
                  <w:tcW w:w="276" w:type="pct"/>
                  <w:vMerge w:val="continue"/>
                  <w:vAlign w:val="center"/>
                </w:tcPr>
                <w:p>
                  <w:pPr>
                    <w:adjustRightInd w:val="0"/>
                    <w:snapToGrid w:val="0"/>
                    <w:spacing w:line="240" w:lineRule="auto"/>
                    <w:ind w:firstLine="0" w:firstLineChars="0"/>
                    <w:jc w:val="center"/>
                    <w:rPr>
                      <w:rFonts w:hint="default" w:ascii="Times New Roman" w:hAnsi="Times New Roman" w:cs="Times New Roman"/>
                      <w:color w:val="000000" w:themeColor="text1"/>
                      <w:kern w:val="0"/>
                      <w:sz w:val="18"/>
                      <w:szCs w:val="18"/>
                      <w14:textFill>
                        <w14:solidFill>
                          <w14:schemeClr w14:val="tx1"/>
                        </w14:solidFill>
                      </w14:textFill>
                    </w:rPr>
                  </w:pPr>
                </w:p>
              </w:tc>
              <w:tc>
                <w:tcPr>
                  <w:tcW w:w="302" w:type="pct"/>
                  <w:vAlign w:val="center"/>
                </w:tcPr>
                <w:p>
                  <w:pPr>
                    <w:adjustRightInd w:val="0"/>
                    <w:snapToGrid w:val="0"/>
                    <w:spacing w:line="240" w:lineRule="auto"/>
                    <w:ind w:firstLine="0" w:firstLineChars="0"/>
                    <w:jc w:val="center"/>
                    <w:rPr>
                      <w:rFonts w:hint="eastAsia" w:cs="Times New Roman"/>
                      <w:kern w:val="0"/>
                      <w:sz w:val="18"/>
                      <w:szCs w:val="18"/>
                      <w:lang w:val="en-US" w:eastAsia="zh-CN"/>
                    </w:rPr>
                  </w:pPr>
                  <w:r>
                    <w:rPr>
                      <w:rFonts w:hint="eastAsia" w:cs="Times New Roman"/>
                      <w:kern w:val="0"/>
                      <w:sz w:val="18"/>
                      <w:szCs w:val="18"/>
                      <w:lang w:val="en-US" w:eastAsia="zh-CN"/>
                    </w:rPr>
                    <w:t>20</w:t>
                  </w:r>
                </w:p>
              </w:tc>
              <w:tc>
                <w:tcPr>
                  <w:tcW w:w="422" w:type="pct"/>
                  <w:vAlign w:val="center"/>
                </w:tcPr>
                <w:p>
                  <w:pPr>
                    <w:adjustRightInd w:val="0"/>
                    <w:snapToGrid w:val="0"/>
                    <w:spacing w:line="240" w:lineRule="auto"/>
                    <w:ind w:firstLine="0" w:firstLineChars="0"/>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类比法</w:t>
                  </w:r>
                </w:p>
              </w:tc>
              <w:tc>
                <w:tcPr>
                  <w:tcW w:w="335" w:type="pct"/>
                  <w:vAlign w:val="center"/>
                </w:tcPr>
                <w:p>
                  <w:pPr>
                    <w:adjustRightInd w:val="0"/>
                    <w:snapToGrid w:val="0"/>
                    <w:spacing w:line="240" w:lineRule="auto"/>
                    <w:ind w:firstLine="0" w:firstLineChars="0"/>
                    <w:jc w:val="center"/>
                    <w:rPr>
                      <w:rFonts w:hint="default" w:cs="Times New Roman"/>
                      <w:kern w:val="0"/>
                      <w:sz w:val="18"/>
                      <w:szCs w:val="18"/>
                      <w:lang w:val="en-US" w:eastAsia="zh-CN"/>
                    </w:rPr>
                  </w:pPr>
                  <w:r>
                    <w:rPr>
                      <w:rFonts w:hint="eastAsia" w:cs="Times New Roman"/>
                      <w:kern w:val="0"/>
                      <w:sz w:val="18"/>
                      <w:szCs w:val="18"/>
                      <w:lang w:val="en-US" w:eastAsia="zh-CN"/>
                    </w:rPr>
                    <w:t>55~60</w:t>
                  </w:r>
                </w:p>
              </w:tc>
              <w:tc>
                <w:tcPr>
                  <w:tcW w:w="32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Times New Roman"/>
                      <w:kern w:val="0"/>
                      <w:sz w:val="18"/>
                      <w:szCs w:val="18"/>
                      <w:lang w:val="en-US" w:eastAsia="zh-CN"/>
                    </w:rPr>
                  </w:pPr>
                  <w:r>
                    <w:rPr>
                      <w:rFonts w:hint="eastAsia" w:cs="Times New Roman"/>
                      <w:kern w:val="0"/>
                      <w:sz w:val="18"/>
                      <w:szCs w:val="18"/>
                      <w:lang w:val="en-US" w:eastAsia="zh-CN"/>
                    </w:rPr>
                    <w:t>8</w:t>
                  </w:r>
                </w:p>
              </w:tc>
            </w:tr>
          </w:tbl>
          <w:p>
            <w:pPr>
              <w:pStyle w:val="49"/>
              <w:spacing w:line="440" w:lineRule="exact"/>
              <w:ind w:firstLine="480"/>
              <w:rPr>
                <w:rFonts w:hint="default" w:ascii="Times New Roman" w:hAnsi="Times New Roman" w:cs="Times New Roman"/>
              </w:rPr>
            </w:pPr>
            <w:r>
              <w:rPr>
                <w:rFonts w:hint="default" w:ascii="Times New Roman" w:hAnsi="Times New Roman" w:cs="Times New Roman"/>
              </w:rPr>
              <w:t>3.2噪声达标性分析</w:t>
            </w:r>
          </w:p>
          <w:p>
            <w:pPr>
              <w:pStyle w:val="49"/>
              <w:spacing w:line="440" w:lineRule="exact"/>
              <w:ind w:firstLine="480"/>
              <w:rPr>
                <w:rFonts w:hint="default" w:ascii="Times New Roman" w:hAnsi="Times New Roman" w:cs="Times New Roman"/>
                <w:color w:val="000000"/>
              </w:rPr>
            </w:pPr>
            <w:r>
              <w:rPr>
                <w:rFonts w:hint="default" w:ascii="Times New Roman" w:hAnsi="Times New Roman" w:cs="Times New Roman"/>
                <w:szCs w:val="21"/>
              </w:rPr>
              <w:t>根据《建设项目环境影响评价技术导则  声环境》（HJ2.4-2009）噪声预测模式及各噪声源相关情况，对各预测点进行了预测。</w:t>
            </w:r>
            <w:r>
              <w:rPr>
                <w:rFonts w:hint="eastAsia" w:ascii="Times New Roman" w:hAnsi="Times New Roman" w:cs="Times New Roman"/>
                <w:szCs w:val="21"/>
                <w:lang w:eastAsia="zh-CN"/>
              </w:rPr>
              <w:t>本项目夜间不生产，</w:t>
            </w:r>
            <w:r>
              <w:rPr>
                <w:rFonts w:hint="default" w:ascii="Times New Roman" w:hAnsi="Times New Roman" w:cs="Times New Roman"/>
                <w:szCs w:val="21"/>
              </w:rPr>
              <w:t>预测结果见表4</w:t>
            </w:r>
            <w:r>
              <w:rPr>
                <w:rFonts w:hint="eastAsia" w:ascii="Times New Roman" w:hAnsi="Times New Roman" w:cs="Times New Roman"/>
                <w:szCs w:val="21"/>
                <w:lang w:val="en-US" w:eastAsia="zh-CN"/>
              </w:rPr>
              <w:t>-8</w:t>
            </w:r>
            <w:r>
              <w:rPr>
                <w:rFonts w:hint="default" w:ascii="Times New Roman" w:hAnsi="Times New Roman" w:cs="Times New Roman"/>
                <w:szCs w:val="21"/>
              </w:rPr>
              <w:t>。</w:t>
            </w:r>
          </w:p>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表4-</w:t>
            </w:r>
            <w:r>
              <w:rPr>
                <w:rFonts w:hint="eastAsia" w:cs="Times New Roman"/>
                <w:b/>
                <w:bCs/>
                <w:color w:val="000000"/>
                <w:kern w:val="0"/>
                <w:sz w:val="21"/>
                <w:szCs w:val="21"/>
                <w:lang w:val="en-US" w:eastAsia="zh-CN"/>
              </w:rPr>
              <w:t>8</w:t>
            </w:r>
            <w:r>
              <w:rPr>
                <w:rFonts w:hint="default" w:ascii="Times New Roman" w:hAnsi="Times New Roman" w:cs="Times New Roman"/>
                <w:b/>
                <w:bCs/>
                <w:color w:val="000000"/>
                <w:kern w:val="0"/>
                <w:sz w:val="21"/>
                <w:szCs w:val="21"/>
              </w:rPr>
              <w:t xml:space="preserve"> 项目厂界噪声预测结果汇总一览表（单位：dB）</w:t>
            </w:r>
          </w:p>
          <w:tbl>
            <w:tblPr>
              <w:tblStyle w:val="2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98"/>
              <w:gridCol w:w="1916"/>
              <w:gridCol w:w="1898"/>
              <w:gridCol w:w="191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1"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color w:val="000000" w:themeColor="text1"/>
                      <w:kern w:val="0"/>
                      <w:sz w:val="21"/>
                      <w:szCs w:val="21"/>
                      <w14:textFill>
                        <w14:solidFill>
                          <w14:schemeClr w14:val="tx1"/>
                        </w14:solidFill>
                      </w14:textFill>
                    </w:rPr>
                  </w:pPr>
                  <w:r>
                    <w:rPr>
                      <w:rFonts w:hint="default" w:ascii="Times New Roman" w:hAnsi="Times New Roman" w:cs="Times New Roman"/>
                      <w:b/>
                      <w:color w:val="000000" w:themeColor="text1"/>
                      <w:kern w:val="0"/>
                      <w:sz w:val="21"/>
                      <w:szCs w:val="21"/>
                      <w14:textFill>
                        <w14:solidFill>
                          <w14:schemeClr w14:val="tx1"/>
                        </w14:solidFill>
                      </w14:textFill>
                    </w:rPr>
                    <w:t>项目</w:t>
                  </w:r>
                </w:p>
              </w:tc>
              <w:tc>
                <w:tcPr>
                  <w:tcW w:w="3998" w:type="pct"/>
                  <w:gridSpan w:val="4"/>
                  <w:vAlign w:val="center"/>
                </w:tcPr>
                <w:p>
                  <w:pPr>
                    <w:widowControl/>
                    <w:adjustRightInd w:val="0"/>
                    <w:snapToGrid w:val="0"/>
                    <w:spacing w:line="240" w:lineRule="auto"/>
                    <w:ind w:firstLine="0" w:firstLineChars="0"/>
                    <w:jc w:val="center"/>
                    <w:rPr>
                      <w:rFonts w:hint="default" w:ascii="Times New Roman" w:hAnsi="Times New Roman" w:eastAsia="宋体" w:cs="Times New Roman"/>
                      <w:b/>
                      <w:color w:val="000000" w:themeColor="text1"/>
                      <w:kern w:val="0"/>
                      <w:sz w:val="21"/>
                      <w:szCs w:val="21"/>
                      <w:lang w:eastAsia="zh-CN"/>
                      <w14:textFill>
                        <w14:solidFill>
                          <w14:schemeClr w14:val="tx1"/>
                        </w14:solidFill>
                      </w14:textFill>
                    </w:rPr>
                  </w:pPr>
                  <w:r>
                    <w:rPr>
                      <w:rFonts w:hint="default" w:ascii="Times New Roman" w:hAnsi="Times New Roman" w:cs="Times New Roman"/>
                      <w:b/>
                      <w:color w:val="000000" w:themeColor="text1"/>
                      <w:kern w:val="0"/>
                      <w:sz w:val="21"/>
                      <w:szCs w:val="21"/>
                      <w:lang w:eastAsia="zh-CN"/>
                      <w14:textFill>
                        <w14:solidFill>
                          <w14:schemeClr w14:val="tx1"/>
                        </w14:solidFill>
                      </w14:textFill>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1"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b/>
                      <w:color w:val="000000" w:themeColor="text1"/>
                      <w:kern w:val="0"/>
                      <w:sz w:val="21"/>
                      <w:szCs w:val="21"/>
                      <w14:textFill>
                        <w14:solidFill>
                          <w14:schemeClr w14:val="tx1"/>
                        </w14:solidFill>
                      </w14:textFill>
                    </w:rPr>
                  </w:pPr>
                </w:p>
              </w:tc>
              <w:tc>
                <w:tcPr>
                  <w:tcW w:w="1010"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
                      <w:snapToGrid w:val="0"/>
                      <w:color w:val="000000" w:themeColor="text1"/>
                      <w:sz w:val="21"/>
                      <w:szCs w:val="21"/>
                      <w:lang w:eastAsia="zh-CN"/>
                      <w14:textFill>
                        <w14:solidFill>
                          <w14:schemeClr w14:val="tx1"/>
                        </w14:solidFill>
                      </w14:textFill>
                    </w:rPr>
                  </w:pPr>
                  <w:bookmarkStart w:id="9" w:name="_Toc68096659"/>
                  <w:r>
                    <w:rPr>
                      <w:rFonts w:hint="default" w:ascii="Times New Roman" w:hAnsi="Times New Roman" w:cs="Times New Roman"/>
                      <w:b/>
                      <w:snapToGrid w:val="0"/>
                      <w:color w:val="000000" w:themeColor="text1"/>
                      <w:sz w:val="21"/>
                      <w:szCs w:val="21"/>
                      <w14:textFill>
                        <w14:solidFill>
                          <w14:schemeClr w14:val="tx1"/>
                        </w14:solidFill>
                      </w14:textFill>
                    </w:rPr>
                    <w:t>东</w:t>
                  </w:r>
                  <w:bookmarkEnd w:id="9"/>
                  <w:r>
                    <w:rPr>
                      <w:rFonts w:hint="default" w:ascii="Times New Roman" w:hAnsi="Times New Roman" w:cs="Times New Roman"/>
                      <w:b/>
                      <w:snapToGrid w:val="0"/>
                      <w:color w:val="000000" w:themeColor="text1"/>
                      <w:sz w:val="21"/>
                      <w:szCs w:val="21"/>
                      <w:lang w:eastAsia="zh-CN"/>
                      <w14:textFill>
                        <w14:solidFill>
                          <w14:schemeClr w14:val="tx1"/>
                        </w14:solidFill>
                      </w14:textFill>
                    </w:rPr>
                    <w:t>厂界</w:t>
                  </w:r>
                </w:p>
              </w:tc>
              <w:tc>
                <w:tcPr>
                  <w:tcW w:w="1001"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color w:val="000000" w:themeColor="text1"/>
                      <w:sz w:val="21"/>
                      <w:szCs w:val="21"/>
                      <w14:textFill>
                        <w14:solidFill>
                          <w14:schemeClr w14:val="tx1"/>
                        </w14:solidFill>
                      </w14:textFill>
                    </w:rPr>
                  </w:pPr>
                  <w:bookmarkStart w:id="10" w:name="_Toc68096660"/>
                  <w:r>
                    <w:rPr>
                      <w:rFonts w:hint="default" w:ascii="Times New Roman" w:hAnsi="Times New Roman" w:cs="Times New Roman"/>
                      <w:b/>
                      <w:snapToGrid w:val="0"/>
                      <w:color w:val="000000" w:themeColor="text1"/>
                      <w:sz w:val="21"/>
                      <w:szCs w:val="21"/>
                      <w14:textFill>
                        <w14:solidFill>
                          <w14:schemeClr w14:val="tx1"/>
                        </w14:solidFill>
                      </w14:textFill>
                    </w:rPr>
                    <w:t>南</w:t>
                  </w:r>
                  <w:bookmarkEnd w:id="10"/>
                  <w:r>
                    <w:rPr>
                      <w:rFonts w:hint="default" w:ascii="Times New Roman" w:hAnsi="Times New Roman" w:cs="Times New Roman"/>
                      <w:b/>
                      <w:snapToGrid w:val="0"/>
                      <w:color w:val="000000" w:themeColor="text1"/>
                      <w:sz w:val="21"/>
                      <w:szCs w:val="21"/>
                      <w:lang w:eastAsia="zh-CN"/>
                      <w14:textFill>
                        <w14:solidFill>
                          <w14:schemeClr w14:val="tx1"/>
                        </w14:solidFill>
                      </w14:textFill>
                    </w:rPr>
                    <w:t>厂界</w:t>
                  </w:r>
                </w:p>
              </w:tc>
              <w:tc>
                <w:tcPr>
                  <w:tcW w:w="1008"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color w:val="000000" w:themeColor="text1"/>
                      <w:sz w:val="21"/>
                      <w:szCs w:val="21"/>
                      <w14:textFill>
                        <w14:solidFill>
                          <w14:schemeClr w14:val="tx1"/>
                        </w14:solidFill>
                      </w14:textFill>
                    </w:rPr>
                  </w:pPr>
                  <w:bookmarkStart w:id="11" w:name="_Toc68096661"/>
                  <w:r>
                    <w:rPr>
                      <w:rFonts w:hint="default" w:ascii="Times New Roman" w:hAnsi="Times New Roman" w:cs="Times New Roman"/>
                      <w:b/>
                      <w:snapToGrid w:val="0"/>
                      <w:color w:val="000000" w:themeColor="text1"/>
                      <w:sz w:val="21"/>
                      <w:szCs w:val="21"/>
                      <w14:textFill>
                        <w14:solidFill>
                          <w14:schemeClr w14:val="tx1"/>
                        </w14:solidFill>
                      </w14:textFill>
                    </w:rPr>
                    <w:t>西</w:t>
                  </w:r>
                  <w:bookmarkEnd w:id="11"/>
                  <w:r>
                    <w:rPr>
                      <w:rFonts w:hint="default" w:ascii="Times New Roman" w:hAnsi="Times New Roman" w:cs="Times New Roman"/>
                      <w:b/>
                      <w:snapToGrid w:val="0"/>
                      <w:color w:val="000000" w:themeColor="text1"/>
                      <w:sz w:val="21"/>
                      <w:szCs w:val="21"/>
                      <w:lang w:eastAsia="zh-CN"/>
                      <w14:textFill>
                        <w14:solidFill>
                          <w14:schemeClr w14:val="tx1"/>
                        </w14:solidFill>
                      </w14:textFill>
                    </w:rPr>
                    <w:t>厂界</w:t>
                  </w:r>
                </w:p>
              </w:tc>
              <w:tc>
                <w:tcPr>
                  <w:tcW w:w="976"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
                      <w:snapToGrid w:val="0"/>
                      <w:color w:val="000000" w:themeColor="text1"/>
                      <w:sz w:val="21"/>
                      <w:szCs w:val="21"/>
                      <w14:textFill>
                        <w14:solidFill>
                          <w14:schemeClr w14:val="tx1"/>
                        </w14:solidFill>
                      </w14:textFill>
                    </w:rPr>
                  </w:pPr>
                  <w:bookmarkStart w:id="12" w:name="_Toc68096662"/>
                  <w:r>
                    <w:rPr>
                      <w:rFonts w:hint="default" w:ascii="Times New Roman" w:hAnsi="Times New Roman" w:cs="Times New Roman"/>
                      <w:b/>
                      <w:snapToGrid w:val="0"/>
                      <w:color w:val="000000" w:themeColor="text1"/>
                      <w:sz w:val="21"/>
                      <w:szCs w:val="21"/>
                      <w14:textFill>
                        <w14:solidFill>
                          <w14:schemeClr w14:val="tx1"/>
                        </w14:solidFill>
                      </w14:textFill>
                    </w:rPr>
                    <w:t>北</w:t>
                  </w:r>
                  <w:bookmarkEnd w:id="12"/>
                  <w:r>
                    <w:rPr>
                      <w:rFonts w:hint="default" w:ascii="Times New Roman" w:hAnsi="Times New Roman" w:cs="Times New Roman"/>
                      <w:b/>
                      <w:snapToGrid w:val="0"/>
                      <w:color w:val="000000" w:themeColor="text1"/>
                      <w:sz w:val="21"/>
                      <w:szCs w:val="21"/>
                      <w:lang w:eastAsia="zh-CN"/>
                      <w14:textFill>
                        <w14:solidFill>
                          <w14:schemeClr w14:val="tx1"/>
                        </w14:solidFill>
                      </w14:textFill>
                    </w:rPr>
                    <w:t>厂界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1"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贡献值</w:t>
                  </w:r>
                </w:p>
              </w:tc>
              <w:tc>
                <w:tcPr>
                  <w:tcW w:w="1010"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21"/>
                      <w:szCs w:val="21"/>
                      <w:lang w:val="en-US" w:eastAsia="zh-CN"/>
                      <w14:textFill>
                        <w14:solidFill>
                          <w14:schemeClr w14:val="tx1"/>
                        </w14:solidFill>
                      </w14:textFill>
                    </w:rPr>
                  </w:pPr>
                  <w:r>
                    <w:rPr>
                      <w:rFonts w:hint="eastAsia" w:cs="Times New Roman"/>
                      <w:bCs/>
                      <w:snapToGrid w:val="0"/>
                      <w:color w:val="000000" w:themeColor="text1"/>
                      <w:sz w:val="21"/>
                      <w:szCs w:val="21"/>
                      <w:lang w:val="en-US" w:eastAsia="zh-CN"/>
                      <w14:textFill>
                        <w14:solidFill>
                          <w14:schemeClr w14:val="tx1"/>
                        </w14:solidFill>
                      </w14:textFill>
                    </w:rPr>
                    <w:t>49.23</w:t>
                  </w:r>
                </w:p>
              </w:tc>
              <w:tc>
                <w:tcPr>
                  <w:tcW w:w="1001"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21"/>
                      <w:szCs w:val="21"/>
                      <w:lang w:val="en-US" w:eastAsia="zh-CN"/>
                      <w14:textFill>
                        <w14:solidFill>
                          <w14:schemeClr w14:val="tx1"/>
                        </w14:solidFill>
                      </w14:textFill>
                    </w:rPr>
                  </w:pPr>
                  <w:r>
                    <w:rPr>
                      <w:rFonts w:hint="eastAsia" w:cs="Times New Roman"/>
                      <w:bCs/>
                      <w:snapToGrid w:val="0"/>
                      <w:color w:val="000000" w:themeColor="text1"/>
                      <w:sz w:val="21"/>
                      <w:szCs w:val="21"/>
                      <w:lang w:val="en-US" w:eastAsia="zh-CN"/>
                      <w14:textFill>
                        <w14:solidFill>
                          <w14:schemeClr w14:val="tx1"/>
                        </w14:solidFill>
                      </w14:textFill>
                    </w:rPr>
                    <w:t>45.35</w:t>
                  </w:r>
                </w:p>
              </w:tc>
              <w:tc>
                <w:tcPr>
                  <w:tcW w:w="1008"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21"/>
                      <w:szCs w:val="21"/>
                      <w:lang w:val="en-US" w:eastAsia="zh-CN"/>
                      <w14:textFill>
                        <w14:solidFill>
                          <w14:schemeClr w14:val="tx1"/>
                        </w14:solidFill>
                      </w14:textFill>
                    </w:rPr>
                  </w:pPr>
                  <w:r>
                    <w:rPr>
                      <w:rFonts w:hint="eastAsia" w:cs="Times New Roman"/>
                      <w:bCs/>
                      <w:snapToGrid w:val="0"/>
                      <w:color w:val="000000" w:themeColor="text1"/>
                      <w:sz w:val="21"/>
                      <w:szCs w:val="21"/>
                      <w:lang w:val="en-US" w:eastAsia="zh-CN"/>
                      <w14:textFill>
                        <w14:solidFill>
                          <w14:schemeClr w14:val="tx1"/>
                        </w14:solidFill>
                      </w14:textFill>
                    </w:rPr>
                    <w:t>48.15</w:t>
                  </w:r>
                </w:p>
              </w:tc>
              <w:tc>
                <w:tcPr>
                  <w:tcW w:w="976" w:type="pct"/>
                  <w:vAlign w:val="center"/>
                </w:tcPr>
                <w:p>
                  <w:pPr>
                    <w:widowControl/>
                    <w:adjustRightInd w:val="0"/>
                    <w:snapToGrid w:val="0"/>
                    <w:spacing w:line="240" w:lineRule="auto"/>
                    <w:ind w:firstLine="0" w:firstLineChars="0"/>
                    <w:jc w:val="center"/>
                    <w:outlineLvl w:val="2"/>
                    <w:rPr>
                      <w:rFonts w:hint="default" w:ascii="Times New Roman" w:hAnsi="Times New Roman" w:eastAsia="宋体" w:cs="Times New Roman"/>
                      <w:bCs/>
                      <w:snapToGrid w:val="0"/>
                      <w:color w:val="000000" w:themeColor="text1"/>
                      <w:sz w:val="21"/>
                      <w:szCs w:val="21"/>
                      <w:lang w:val="en-US" w:eastAsia="zh-CN"/>
                      <w14:textFill>
                        <w14:solidFill>
                          <w14:schemeClr w14:val="tx1"/>
                        </w14:solidFill>
                      </w14:textFill>
                    </w:rPr>
                  </w:pPr>
                  <w:r>
                    <w:rPr>
                      <w:rFonts w:hint="eastAsia" w:cs="Times New Roman"/>
                      <w:bCs/>
                      <w:snapToGrid w:val="0"/>
                      <w:color w:val="000000" w:themeColor="text1"/>
                      <w:sz w:val="21"/>
                      <w:szCs w:val="21"/>
                      <w:lang w:val="en-US" w:eastAsia="zh-CN"/>
                      <w14:textFill>
                        <w14:solidFill>
                          <w14:schemeClr w14:val="tx1"/>
                        </w14:solidFill>
                      </w14:textFill>
                    </w:rPr>
                    <w:t>50.19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1"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标准值</w:t>
                  </w:r>
                </w:p>
              </w:tc>
              <w:tc>
                <w:tcPr>
                  <w:tcW w:w="3998" w:type="pct"/>
                  <w:gridSpan w:val="4"/>
                  <w:vAlign w:val="center"/>
                </w:tcPr>
                <w:p>
                  <w:pPr>
                    <w:widowControl/>
                    <w:adjustRightInd w:val="0"/>
                    <w:snapToGrid w:val="0"/>
                    <w:spacing w:line="240" w:lineRule="auto"/>
                    <w:ind w:firstLine="0" w:firstLineChars="0"/>
                    <w:jc w:val="center"/>
                    <w:rPr>
                      <w:rFonts w:hint="default" w:ascii="Times New Roman" w:hAnsi="Times New Roman" w:eastAsia="宋体" w:cs="Times New Roman"/>
                      <w:bCs/>
                      <w:color w:val="000000" w:themeColor="text1"/>
                      <w:kern w:val="0"/>
                      <w:sz w:val="21"/>
                      <w:szCs w:val="21"/>
                      <w:lang w:val="en-US" w:eastAsia="zh-CN"/>
                      <w14:textFill>
                        <w14:solidFill>
                          <w14:schemeClr w14:val="tx1"/>
                        </w14:solidFill>
                      </w14:textFill>
                    </w:rPr>
                  </w:pPr>
                  <w:r>
                    <w:rPr>
                      <w:rFonts w:hint="eastAsia" w:cs="Times New Roman"/>
                      <w:bCs/>
                      <w:color w:val="000000" w:themeColor="text1"/>
                      <w:kern w:val="0"/>
                      <w:sz w:val="21"/>
                      <w:szCs w:val="21"/>
                      <w:lang w:val="en-US" w:eastAsia="zh-CN"/>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001" w:type="pct"/>
                  <w:vAlign w:val="center"/>
                </w:tcPr>
                <w:p>
                  <w:pPr>
                    <w:widowControl/>
                    <w:adjustRightInd w:val="0"/>
                    <w:snapToGrid w:val="0"/>
                    <w:spacing w:line="240" w:lineRule="auto"/>
                    <w:ind w:firstLine="0" w:firstLineChars="0"/>
                    <w:jc w:val="center"/>
                    <w:rPr>
                      <w:rFonts w:hint="default" w:ascii="Times New Roman" w:hAnsi="Times New Roman" w:cs="Times New Roman"/>
                      <w:bCs/>
                      <w:color w:val="000000" w:themeColor="text1"/>
                      <w:kern w:val="0"/>
                      <w:sz w:val="21"/>
                      <w:szCs w:val="21"/>
                      <w14:textFill>
                        <w14:solidFill>
                          <w14:schemeClr w14:val="tx1"/>
                        </w14:solidFill>
                      </w14:textFill>
                    </w:rPr>
                  </w:pPr>
                  <w:r>
                    <w:rPr>
                      <w:rFonts w:hint="default" w:ascii="Times New Roman" w:hAnsi="Times New Roman" w:cs="Times New Roman"/>
                      <w:bCs/>
                      <w:color w:val="000000" w:themeColor="text1"/>
                      <w:kern w:val="0"/>
                      <w:sz w:val="21"/>
                      <w:szCs w:val="21"/>
                      <w14:textFill>
                        <w14:solidFill>
                          <w14:schemeClr w14:val="tx1"/>
                        </w14:solidFill>
                      </w14:textFill>
                    </w:rPr>
                    <w:t>达标情况</w:t>
                  </w:r>
                </w:p>
              </w:tc>
              <w:tc>
                <w:tcPr>
                  <w:tcW w:w="1010"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21"/>
                      <w:szCs w:val="21"/>
                      <w14:textFill>
                        <w14:solidFill>
                          <w14:schemeClr w14:val="tx1"/>
                        </w14:solidFill>
                      </w14:textFill>
                    </w:rPr>
                  </w:pPr>
                  <w:bookmarkStart w:id="13" w:name="_Toc68096685"/>
                  <w:r>
                    <w:rPr>
                      <w:rFonts w:hint="default" w:ascii="Times New Roman" w:hAnsi="Times New Roman" w:cs="Times New Roman"/>
                      <w:bCs/>
                      <w:snapToGrid w:val="0"/>
                      <w:color w:val="000000" w:themeColor="text1"/>
                      <w:sz w:val="21"/>
                      <w:szCs w:val="21"/>
                      <w14:textFill>
                        <w14:solidFill>
                          <w14:schemeClr w14:val="tx1"/>
                        </w14:solidFill>
                      </w14:textFill>
                    </w:rPr>
                    <w:t>达标</w:t>
                  </w:r>
                  <w:bookmarkEnd w:id="13"/>
                </w:p>
              </w:tc>
              <w:tc>
                <w:tcPr>
                  <w:tcW w:w="1001"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21"/>
                      <w:szCs w:val="21"/>
                      <w14:textFill>
                        <w14:solidFill>
                          <w14:schemeClr w14:val="tx1"/>
                        </w14:solidFill>
                      </w14:textFill>
                    </w:rPr>
                  </w:pPr>
                  <w:bookmarkStart w:id="14" w:name="_Toc68096686"/>
                  <w:r>
                    <w:rPr>
                      <w:rFonts w:hint="default" w:ascii="Times New Roman" w:hAnsi="Times New Roman" w:cs="Times New Roman"/>
                      <w:bCs/>
                      <w:snapToGrid w:val="0"/>
                      <w:color w:val="000000" w:themeColor="text1"/>
                      <w:sz w:val="21"/>
                      <w:szCs w:val="21"/>
                      <w14:textFill>
                        <w14:solidFill>
                          <w14:schemeClr w14:val="tx1"/>
                        </w14:solidFill>
                      </w14:textFill>
                    </w:rPr>
                    <w:t>达标</w:t>
                  </w:r>
                  <w:bookmarkEnd w:id="14"/>
                </w:p>
              </w:tc>
              <w:tc>
                <w:tcPr>
                  <w:tcW w:w="1008"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21"/>
                      <w:szCs w:val="21"/>
                      <w14:textFill>
                        <w14:solidFill>
                          <w14:schemeClr w14:val="tx1"/>
                        </w14:solidFill>
                      </w14:textFill>
                    </w:rPr>
                  </w:pPr>
                  <w:bookmarkStart w:id="15" w:name="_Toc68096687"/>
                  <w:r>
                    <w:rPr>
                      <w:rFonts w:hint="default" w:ascii="Times New Roman" w:hAnsi="Times New Roman" w:cs="Times New Roman"/>
                      <w:bCs/>
                      <w:snapToGrid w:val="0"/>
                      <w:color w:val="000000" w:themeColor="text1"/>
                      <w:sz w:val="21"/>
                      <w:szCs w:val="21"/>
                      <w14:textFill>
                        <w14:solidFill>
                          <w14:schemeClr w14:val="tx1"/>
                        </w14:solidFill>
                      </w14:textFill>
                    </w:rPr>
                    <w:t>达标</w:t>
                  </w:r>
                  <w:bookmarkEnd w:id="15"/>
                </w:p>
              </w:tc>
              <w:tc>
                <w:tcPr>
                  <w:tcW w:w="976" w:type="pct"/>
                  <w:vAlign w:val="center"/>
                </w:tcPr>
                <w:p>
                  <w:pPr>
                    <w:widowControl/>
                    <w:adjustRightInd w:val="0"/>
                    <w:snapToGrid w:val="0"/>
                    <w:spacing w:line="240" w:lineRule="auto"/>
                    <w:ind w:firstLine="0" w:firstLineChars="0"/>
                    <w:jc w:val="center"/>
                    <w:outlineLvl w:val="2"/>
                    <w:rPr>
                      <w:rFonts w:hint="default" w:ascii="Times New Roman" w:hAnsi="Times New Roman" w:cs="Times New Roman"/>
                      <w:bCs/>
                      <w:snapToGrid w:val="0"/>
                      <w:color w:val="000000" w:themeColor="text1"/>
                      <w:sz w:val="21"/>
                      <w:szCs w:val="21"/>
                      <w14:textFill>
                        <w14:solidFill>
                          <w14:schemeClr w14:val="tx1"/>
                        </w14:solidFill>
                      </w14:textFill>
                    </w:rPr>
                  </w:pPr>
                  <w:bookmarkStart w:id="16" w:name="_Toc68096688"/>
                  <w:r>
                    <w:rPr>
                      <w:rFonts w:hint="default" w:ascii="Times New Roman" w:hAnsi="Times New Roman" w:cs="Times New Roman"/>
                      <w:bCs/>
                      <w:snapToGrid w:val="0"/>
                      <w:color w:val="000000" w:themeColor="text1"/>
                      <w:sz w:val="21"/>
                      <w:szCs w:val="21"/>
                      <w14:textFill>
                        <w14:solidFill>
                          <w14:schemeClr w14:val="tx1"/>
                        </w14:solidFill>
                      </w14:textFill>
                    </w:rPr>
                    <w:t>达标</w:t>
                  </w:r>
                  <w:bookmarkEnd w:id="16"/>
                </w:p>
              </w:tc>
            </w:tr>
          </w:tbl>
          <w:p>
            <w:pPr>
              <w:pStyle w:val="49"/>
              <w:spacing w:line="440" w:lineRule="exact"/>
              <w:ind w:firstLine="480"/>
              <w:rPr>
                <w:rFonts w:hint="default" w:ascii="Times New Roman" w:hAnsi="Times New Roman" w:cs="Times New Roman"/>
              </w:rPr>
            </w:pPr>
            <w:r>
              <w:rPr>
                <w:rFonts w:hint="default" w:ascii="Times New Roman" w:hAnsi="Times New Roman" w:cs="Times New Roman"/>
              </w:rPr>
              <w:t>预测结果表明，项目建成后各主要噪声设备经降噪措施及距离衰减后</w:t>
            </w:r>
            <w:r>
              <w:rPr>
                <w:rFonts w:hint="default" w:ascii="Times New Roman" w:hAnsi="Times New Roman" w:cs="Times New Roman"/>
                <w:color w:val="000000"/>
                <w:szCs w:val="21"/>
              </w:rPr>
              <w:t>，生产噪声对企业厂界噪声贡献值能满足《工业企业厂界环境噪声排放标准》（GB12348-2008）中的相应标准</w:t>
            </w:r>
            <w:r>
              <w:rPr>
                <w:rFonts w:hint="eastAsia" w:ascii="Times New Roman" w:hAnsi="Times New Roman" w:cs="Times New Roman"/>
                <w:color w:val="000000"/>
                <w:szCs w:val="21"/>
                <w:lang w:val="en-US" w:eastAsia="zh-CN"/>
              </w:rPr>
              <w:t>3</w:t>
            </w:r>
            <w:r>
              <w:rPr>
                <w:rFonts w:hint="default" w:ascii="Times New Roman" w:hAnsi="Times New Roman" w:cs="Times New Roman"/>
                <w:color w:val="000000"/>
                <w:szCs w:val="21"/>
              </w:rPr>
              <w:t>类功能区标准。</w:t>
            </w:r>
            <w:r>
              <w:rPr>
                <w:rFonts w:hint="default" w:ascii="Times New Roman" w:hAnsi="Times New Roman" w:cs="Times New Roman"/>
              </w:rPr>
              <w:t>项目周围50米范围内无环境敏感目标，</w:t>
            </w:r>
            <w:r>
              <w:rPr>
                <w:rFonts w:hint="default" w:ascii="Times New Roman" w:hAnsi="Times New Roman" w:cs="Times New Roman"/>
                <w:color w:val="000000"/>
                <w:szCs w:val="21"/>
              </w:rPr>
              <w:t>本项目生产噪声不会对其造成明显影响。</w:t>
            </w:r>
          </w:p>
          <w:p>
            <w:pPr>
              <w:pStyle w:val="49"/>
              <w:spacing w:line="440" w:lineRule="exact"/>
              <w:ind w:firstLine="480"/>
              <w:rPr>
                <w:rFonts w:hint="default" w:ascii="Times New Roman" w:hAnsi="Times New Roman" w:cs="Times New Roman"/>
              </w:rPr>
            </w:pPr>
            <w:r>
              <w:rPr>
                <w:rFonts w:hint="default" w:ascii="Times New Roman" w:hAnsi="Times New Roman" w:cs="Times New Roman"/>
              </w:rPr>
              <w:t>3.3噪声防治措施</w:t>
            </w:r>
          </w:p>
          <w:p>
            <w:pPr>
              <w:pStyle w:val="49"/>
              <w:spacing w:line="440" w:lineRule="exact"/>
              <w:ind w:firstLine="480"/>
              <w:rPr>
                <w:rFonts w:hint="default" w:ascii="Times New Roman" w:hAnsi="Times New Roman" w:cs="Times New Roman"/>
              </w:rPr>
            </w:pPr>
            <w:r>
              <w:rPr>
                <w:rFonts w:hint="default" w:ascii="Times New Roman" w:hAnsi="Times New Roman" w:cs="Times New Roman"/>
              </w:rPr>
              <w:t>为了进一步降低厂区噪声，建议采取以下噪声污染防治措施：</w:t>
            </w:r>
          </w:p>
          <w:p>
            <w:pPr>
              <w:pStyle w:val="49"/>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①在选用和购买设备时，采用生产效率高且性能好的先进性设备，低噪声型设备噪声产生源强小；</w:t>
            </w:r>
          </w:p>
          <w:p>
            <w:pPr>
              <w:pStyle w:val="49"/>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②项目的总体布局上，将生产车间和噪声源强较高的设备布置远离厂区边界，加大了噪声的距离衰减，同时生产设备基本安置在室内，以减轻设备的影响；</w:t>
            </w:r>
          </w:p>
          <w:p>
            <w:pPr>
              <w:pStyle w:val="49"/>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③针对不同的高噪声设备，采取针对性较强的措施。对强噪声设备采用安装吸声、消声材料措施。对空气流动噪声采用在气流通道上安装消声器装置以降低噪声。</w:t>
            </w:r>
          </w:p>
          <w:p>
            <w:pPr>
              <w:pStyle w:val="49"/>
              <w:spacing w:line="440" w:lineRule="exact"/>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④企业需加强设备的维护，确保设备处于良好的运转状态，杜绝因设备不正常运转时产生的高噪声现象。</w:t>
            </w:r>
          </w:p>
          <w:p>
            <w:pPr>
              <w:pStyle w:val="49"/>
              <w:spacing w:line="440" w:lineRule="exact"/>
              <w:ind w:firstLine="480"/>
              <w:rPr>
                <w:rFonts w:hint="default" w:ascii="Times New Roman" w:hAnsi="Times New Roman" w:cs="Times New Roman"/>
              </w:rPr>
            </w:pPr>
            <w:r>
              <w:rPr>
                <w:rFonts w:hint="default" w:ascii="Times New Roman" w:hAnsi="Times New Roman" w:cs="Times New Roman"/>
              </w:rPr>
              <w:t>3.4噪声监测计划</w:t>
            </w:r>
          </w:p>
          <w:p>
            <w:pPr>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本项目噪声监测计划见表4-</w:t>
            </w:r>
            <w:r>
              <w:rPr>
                <w:rFonts w:hint="eastAsia" w:cs="Times New Roman"/>
                <w:szCs w:val="21"/>
                <w:lang w:val="en-US" w:eastAsia="zh-CN"/>
              </w:rPr>
              <w:t>9</w:t>
            </w:r>
            <w:r>
              <w:rPr>
                <w:rFonts w:hint="default" w:ascii="Times New Roman" w:hAnsi="Times New Roman" w:cs="Times New Roman"/>
                <w:szCs w:val="21"/>
              </w:rPr>
              <w:t>。</w:t>
            </w:r>
          </w:p>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表4-</w:t>
            </w:r>
            <w:r>
              <w:rPr>
                <w:rFonts w:hint="eastAsia" w:cs="Times New Roman"/>
                <w:b/>
                <w:bCs/>
                <w:color w:val="000000"/>
                <w:kern w:val="0"/>
                <w:sz w:val="21"/>
                <w:szCs w:val="21"/>
                <w:lang w:val="en-US" w:eastAsia="zh-CN"/>
              </w:rPr>
              <w:t xml:space="preserve">9 </w:t>
            </w:r>
            <w:r>
              <w:rPr>
                <w:rFonts w:hint="default" w:ascii="Times New Roman" w:hAnsi="Times New Roman" w:cs="Times New Roman"/>
                <w:b/>
                <w:bCs/>
                <w:color w:val="000000"/>
                <w:kern w:val="0"/>
                <w:sz w:val="21"/>
                <w:szCs w:val="21"/>
              </w:rPr>
              <w:t xml:space="preserve"> 噪声监测计划</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8"/>
              <w:gridCol w:w="4871"/>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27"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监测点</w:t>
                  </w:r>
                </w:p>
              </w:tc>
              <w:tc>
                <w:tcPr>
                  <w:tcW w:w="2568"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监测频率</w:t>
                  </w:r>
                </w:p>
              </w:tc>
              <w:tc>
                <w:tcPr>
                  <w:tcW w:w="140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kern w:val="0"/>
                      <w:sz w:val="21"/>
                      <w:szCs w:val="21"/>
                    </w:rPr>
                  </w:pPr>
                  <w:r>
                    <w:rPr>
                      <w:rFonts w:hint="default" w:ascii="Times New Roman" w:hAnsi="Times New Roman" w:cs="Times New Roman"/>
                      <w:b/>
                      <w:bCs/>
                      <w:color w:val="000000"/>
                      <w:kern w:val="0"/>
                      <w:sz w:val="21"/>
                      <w:szCs w:val="21"/>
                    </w:rPr>
                    <w:t>监测项目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27"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各侧厂界</w:t>
                  </w:r>
                </w:p>
              </w:tc>
              <w:tc>
                <w:tcPr>
                  <w:tcW w:w="2568"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1次/季度，每次监测1天，分昼间、夜间进行</w:t>
                  </w:r>
                </w:p>
              </w:tc>
              <w:tc>
                <w:tcPr>
                  <w:tcW w:w="140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等效连续A声级</w:t>
                  </w:r>
                </w:p>
              </w:tc>
            </w:tr>
          </w:tbl>
          <w:p>
            <w:pPr>
              <w:pStyle w:val="49"/>
              <w:keepNext w:val="0"/>
              <w:keepLines w:val="0"/>
              <w:pageBreakBefore w:val="0"/>
              <w:widowControl w:val="0"/>
              <w:numPr>
                <w:ilvl w:val="0"/>
                <w:numId w:val="10"/>
              </w:numPr>
              <w:kinsoku/>
              <w:wordWrap/>
              <w:overflowPunct/>
              <w:topLinePunct w:val="0"/>
              <w:autoSpaceDE/>
              <w:autoSpaceDN/>
              <w:bidi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t>固废</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cs="Times New Roman"/>
                <w:snapToGrid w:val="0"/>
                <w:color w:val="000000" w:themeColor="text1"/>
                <w14:textFill>
                  <w14:solidFill>
                    <w14:schemeClr w14:val="tx1"/>
                  </w14:solidFill>
                </w14:textFill>
              </w:rPr>
            </w:pPr>
            <w:r>
              <w:rPr>
                <w:rFonts w:hint="eastAsia" w:cs="Times New Roman"/>
                <w:snapToGrid w:val="0"/>
                <w:color w:val="000000" w:themeColor="text1"/>
                <w:lang w:eastAsia="zh-CN"/>
                <w14:textFill>
                  <w14:solidFill>
                    <w14:schemeClr w14:val="tx1"/>
                  </w14:solidFill>
                </w14:textFill>
              </w:rPr>
              <w:t>本项目产生固体废物主要为除尘灰、废布袋、废</w:t>
            </w:r>
            <w:r>
              <w:rPr>
                <w:rFonts w:hint="eastAsia" w:cs="Times New Roman"/>
                <w:snapToGrid w:val="0"/>
                <w:color w:val="000000" w:themeColor="text1"/>
                <w:lang w:val="en-US" w:eastAsia="zh-CN"/>
                <w14:textFill>
                  <w14:solidFill>
                    <w14:schemeClr w14:val="tx1"/>
                  </w14:solidFill>
                </w14:textFill>
              </w:rPr>
              <w:t>UV灯管、废活性炭、不合格品、废滤网、废矿物油生活垃圾</w:t>
            </w:r>
            <w:r>
              <w:rPr>
                <w:rFonts w:hint="default" w:ascii="Times New Roman" w:hAnsi="Times New Roman" w:cs="Times New Roman"/>
                <w:snapToGrid w:val="0"/>
                <w:color w:val="000000" w:themeColor="text1"/>
                <w14:textFill>
                  <w14:solidFill>
                    <w14:schemeClr w14:val="tx1"/>
                  </w14:solidFill>
                </w14:textFill>
              </w:rPr>
              <w:t>。</w:t>
            </w:r>
          </w:p>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r>
              <w:rPr>
                <w:rFonts w:hint="default" w:ascii="Times New Roman" w:hAnsi="Times New Roman" w:cs="Times New Roman"/>
                <w:b/>
                <w:bCs/>
                <w:color w:val="000000" w:themeColor="text1"/>
                <w:kern w:val="0"/>
                <w:sz w:val="21"/>
                <w:szCs w:val="21"/>
                <w14:textFill>
                  <w14:solidFill>
                    <w14:schemeClr w14:val="tx1"/>
                  </w14:solidFill>
                </w14:textFill>
              </w:rPr>
              <w:t>表4-</w:t>
            </w:r>
            <w:r>
              <w:rPr>
                <w:rFonts w:hint="eastAsia" w:cs="Times New Roman"/>
                <w:b/>
                <w:bCs/>
                <w:color w:val="000000" w:themeColor="text1"/>
                <w:kern w:val="0"/>
                <w:sz w:val="21"/>
                <w:szCs w:val="21"/>
                <w:lang w:val="en-US" w:eastAsia="zh-CN"/>
                <w14:textFill>
                  <w14:solidFill>
                    <w14:schemeClr w14:val="tx1"/>
                  </w14:solidFill>
                </w14:textFill>
              </w:rPr>
              <w:t>10</w:t>
            </w:r>
            <w:r>
              <w:rPr>
                <w:rFonts w:hint="default" w:ascii="Times New Roman" w:hAnsi="Times New Roman" w:cs="Times New Roman"/>
                <w:b/>
                <w:bCs/>
                <w:color w:val="000000" w:themeColor="text1"/>
                <w:kern w:val="0"/>
                <w:sz w:val="21"/>
                <w:szCs w:val="21"/>
                <w14:textFill>
                  <w14:solidFill>
                    <w14:schemeClr w14:val="tx1"/>
                  </w14:solidFill>
                </w14:textFill>
              </w:rPr>
              <w:t xml:space="preserve"> 本项目固体废物污染源源强核算结果及相关参数一览表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
              <w:gridCol w:w="1015"/>
              <w:gridCol w:w="1019"/>
              <w:gridCol w:w="831"/>
              <w:gridCol w:w="1046"/>
              <w:gridCol w:w="788"/>
              <w:gridCol w:w="778"/>
              <w:gridCol w:w="771"/>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1"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17" w:name="_Toc68096696"/>
                  <w:r>
                    <w:rPr>
                      <w:rFonts w:hint="default" w:ascii="Times New Roman" w:hAnsi="Times New Roman" w:cs="Times New Roman"/>
                      <w:b/>
                      <w:bCs/>
                      <w:color w:val="000000" w:themeColor="text1"/>
                      <w:kern w:val="0"/>
                      <w:sz w:val="21"/>
                      <w:szCs w:val="21"/>
                      <w14:textFill>
                        <w14:solidFill>
                          <w14:schemeClr w14:val="tx1"/>
                        </w14:solidFill>
                      </w14:textFill>
                    </w:rPr>
                    <w:t>产生环节</w:t>
                  </w:r>
                  <w:bookmarkEnd w:id="17"/>
                </w:p>
              </w:tc>
              <w:tc>
                <w:tcPr>
                  <w:tcW w:w="535"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18" w:name="_Toc68096697"/>
                  <w:r>
                    <w:rPr>
                      <w:rFonts w:hint="default" w:ascii="Times New Roman" w:hAnsi="Times New Roman" w:cs="Times New Roman"/>
                      <w:b/>
                      <w:bCs/>
                      <w:color w:val="000000" w:themeColor="text1"/>
                      <w:kern w:val="0"/>
                      <w:sz w:val="21"/>
                      <w:szCs w:val="21"/>
                      <w14:textFill>
                        <w14:solidFill>
                          <w14:schemeClr w14:val="tx1"/>
                        </w14:solidFill>
                      </w14:textFill>
                    </w:rPr>
                    <w:t>装置</w:t>
                  </w:r>
                  <w:bookmarkEnd w:id="18"/>
                </w:p>
              </w:tc>
              <w:tc>
                <w:tcPr>
                  <w:tcW w:w="537"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19" w:name="_Toc68096698"/>
                  <w:r>
                    <w:rPr>
                      <w:rFonts w:hint="default" w:ascii="Times New Roman" w:hAnsi="Times New Roman" w:cs="Times New Roman"/>
                      <w:b/>
                      <w:bCs/>
                      <w:color w:val="000000" w:themeColor="text1"/>
                      <w:kern w:val="0"/>
                      <w:sz w:val="21"/>
                      <w:szCs w:val="21"/>
                      <w14:textFill>
                        <w14:solidFill>
                          <w14:schemeClr w14:val="tx1"/>
                        </w14:solidFill>
                      </w14:textFill>
                    </w:rPr>
                    <w:t>名称</w:t>
                  </w:r>
                  <w:bookmarkEnd w:id="19"/>
                </w:p>
              </w:tc>
              <w:tc>
                <w:tcPr>
                  <w:tcW w:w="438"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0" w:name="_Toc68096699"/>
                  <w:r>
                    <w:rPr>
                      <w:rFonts w:hint="default" w:ascii="Times New Roman" w:hAnsi="Times New Roman" w:cs="Times New Roman"/>
                      <w:b/>
                      <w:bCs/>
                      <w:color w:val="000000" w:themeColor="text1"/>
                      <w:kern w:val="0"/>
                      <w:sz w:val="21"/>
                      <w:szCs w:val="21"/>
                      <w14:textFill>
                        <w14:solidFill>
                          <w14:schemeClr w14:val="tx1"/>
                        </w14:solidFill>
                      </w14:textFill>
                    </w:rPr>
                    <w:t>属性</w:t>
                  </w:r>
                  <w:bookmarkEnd w:id="20"/>
                </w:p>
              </w:tc>
              <w:tc>
                <w:tcPr>
                  <w:tcW w:w="966" w:type="pct"/>
                  <w:gridSpan w:val="2"/>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1" w:name="_Toc68096700"/>
                  <w:r>
                    <w:rPr>
                      <w:rFonts w:hint="default" w:ascii="Times New Roman" w:hAnsi="Times New Roman" w:cs="Times New Roman"/>
                      <w:b/>
                      <w:bCs/>
                      <w:color w:val="000000" w:themeColor="text1"/>
                      <w:kern w:val="0"/>
                      <w:sz w:val="21"/>
                      <w:szCs w:val="21"/>
                      <w14:textFill>
                        <w14:solidFill>
                          <w14:schemeClr w14:val="tx1"/>
                        </w14:solidFill>
                      </w14:textFill>
                    </w:rPr>
                    <w:t>产生情况</w:t>
                  </w:r>
                  <w:bookmarkEnd w:id="21"/>
                </w:p>
              </w:tc>
              <w:tc>
                <w:tcPr>
                  <w:tcW w:w="816" w:type="pct"/>
                  <w:gridSpan w:val="2"/>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2" w:name="_Toc68096701"/>
                  <w:r>
                    <w:rPr>
                      <w:rFonts w:hint="default" w:ascii="Times New Roman" w:hAnsi="Times New Roman" w:cs="Times New Roman"/>
                      <w:b/>
                      <w:bCs/>
                      <w:color w:val="000000" w:themeColor="text1"/>
                      <w:kern w:val="0"/>
                      <w:sz w:val="21"/>
                      <w:szCs w:val="21"/>
                      <w14:textFill>
                        <w14:solidFill>
                          <w14:schemeClr w14:val="tx1"/>
                        </w14:solidFill>
                      </w14:textFill>
                    </w:rPr>
                    <w:t>处置措施</w:t>
                  </w:r>
                  <w:bookmarkEnd w:id="22"/>
                </w:p>
              </w:tc>
              <w:tc>
                <w:tcPr>
                  <w:tcW w:w="1183" w:type="pct"/>
                  <w:vMerge w:val="restar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3" w:name="_Toc68096702"/>
                  <w:r>
                    <w:rPr>
                      <w:rFonts w:hint="default" w:ascii="Times New Roman" w:hAnsi="Times New Roman" w:cs="Times New Roman"/>
                      <w:b/>
                      <w:bCs/>
                      <w:color w:val="000000" w:themeColor="text1"/>
                      <w:kern w:val="0"/>
                      <w:sz w:val="21"/>
                      <w:szCs w:val="21"/>
                      <w14:textFill>
                        <w14:solidFill>
                          <w14:schemeClr w14:val="tx1"/>
                        </w14:solidFill>
                      </w14:textFill>
                    </w:rPr>
                    <w:t>最终去向</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1"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535"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537"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438"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c>
                <w:tcPr>
                  <w:tcW w:w="551" w:type="pc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4" w:name="_Toc68096703"/>
                  <w:r>
                    <w:rPr>
                      <w:rFonts w:hint="default" w:ascii="Times New Roman" w:hAnsi="Times New Roman" w:cs="Times New Roman"/>
                      <w:b/>
                      <w:bCs/>
                      <w:color w:val="000000" w:themeColor="text1"/>
                      <w:kern w:val="0"/>
                      <w:sz w:val="21"/>
                      <w:szCs w:val="21"/>
                      <w14:textFill>
                        <w14:solidFill>
                          <w14:schemeClr w14:val="tx1"/>
                        </w14:solidFill>
                      </w14:textFill>
                    </w:rPr>
                    <w:t>核算方法</w:t>
                  </w:r>
                  <w:bookmarkEnd w:id="24"/>
                </w:p>
              </w:tc>
              <w:tc>
                <w:tcPr>
                  <w:tcW w:w="415" w:type="pc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5" w:name="_Toc68096704"/>
                  <w:r>
                    <w:rPr>
                      <w:rFonts w:hint="default" w:ascii="Times New Roman" w:hAnsi="Times New Roman" w:cs="Times New Roman"/>
                      <w:b/>
                      <w:bCs/>
                      <w:color w:val="000000" w:themeColor="text1"/>
                      <w:kern w:val="0"/>
                      <w:sz w:val="21"/>
                      <w:szCs w:val="21"/>
                      <w14:textFill>
                        <w14:solidFill>
                          <w14:schemeClr w14:val="tx1"/>
                        </w14:solidFill>
                      </w14:textFill>
                    </w:rPr>
                    <w:t>产生量（t/a）</w:t>
                  </w:r>
                  <w:bookmarkEnd w:id="25"/>
                </w:p>
              </w:tc>
              <w:tc>
                <w:tcPr>
                  <w:tcW w:w="410" w:type="pc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6" w:name="_Toc68096705"/>
                  <w:r>
                    <w:rPr>
                      <w:rFonts w:hint="default" w:ascii="Times New Roman" w:hAnsi="Times New Roman" w:cs="Times New Roman"/>
                      <w:b/>
                      <w:bCs/>
                      <w:color w:val="000000" w:themeColor="text1"/>
                      <w:kern w:val="0"/>
                      <w:sz w:val="21"/>
                      <w:szCs w:val="21"/>
                      <w14:textFill>
                        <w14:solidFill>
                          <w14:schemeClr w14:val="tx1"/>
                        </w14:solidFill>
                      </w14:textFill>
                    </w:rPr>
                    <w:t>工艺</w:t>
                  </w:r>
                  <w:bookmarkEnd w:id="26"/>
                </w:p>
              </w:tc>
              <w:tc>
                <w:tcPr>
                  <w:tcW w:w="406" w:type="pct"/>
                  <w:vAlign w:val="center"/>
                </w:tcPr>
                <w:p>
                  <w:pPr>
                    <w:widowControl/>
                    <w:adjustRightInd w:val="0"/>
                    <w:snapToGrid w:val="0"/>
                    <w:spacing w:line="240" w:lineRule="auto"/>
                    <w:ind w:firstLine="0" w:firstLineChars="0"/>
                    <w:jc w:val="center"/>
                    <w:rPr>
                      <w:rFonts w:hint="default" w:ascii="Times New Roman" w:hAnsi="Times New Roman" w:cs="Times New Roman"/>
                      <w:b/>
                      <w:bCs/>
                      <w:color w:val="000000" w:themeColor="text1"/>
                      <w:kern w:val="0"/>
                      <w:sz w:val="21"/>
                      <w:szCs w:val="21"/>
                      <w14:textFill>
                        <w14:solidFill>
                          <w14:schemeClr w14:val="tx1"/>
                        </w14:solidFill>
                      </w14:textFill>
                    </w:rPr>
                  </w:pPr>
                  <w:bookmarkStart w:id="27" w:name="_Toc68096706"/>
                  <w:r>
                    <w:rPr>
                      <w:rFonts w:hint="default" w:ascii="Times New Roman" w:hAnsi="Times New Roman" w:cs="Times New Roman"/>
                      <w:b/>
                      <w:bCs/>
                      <w:color w:val="000000" w:themeColor="text1"/>
                      <w:kern w:val="0"/>
                      <w:sz w:val="21"/>
                      <w:szCs w:val="21"/>
                      <w14:textFill>
                        <w14:solidFill>
                          <w14:schemeClr w14:val="tx1"/>
                        </w14:solidFill>
                      </w14:textFill>
                    </w:rPr>
                    <w:t>处置量（t/a）</w:t>
                  </w:r>
                  <w:bookmarkEnd w:id="27"/>
                </w:p>
              </w:tc>
              <w:tc>
                <w:tcPr>
                  <w:tcW w:w="1183" w:type="pct"/>
                  <w:vMerge w:val="continue"/>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1"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检验</w:t>
                  </w:r>
                </w:p>
              </w:tc>
              <w:tc>
                <w:tcPr>
                  <w:tcW w:w="535"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w:t>
                  </w:r>
                </w:p>
              </w:tc>
              <w:tc>
                <w:tcPr>
                  <w:tcW w:w="537"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不合格品</w:t>
                  </w:r>
                </w:p>
              </w:tc>
              <w:tc>
                <w:tcPr>
                  <w:tcW w:w="438"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一般固废</w:t>
                  </w:r>
                </w:p>
              </w:tc>
              <w:tc>
                <w:tcPr>
                  <w:tcW w:w="551"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类比法</w:t>
                  </w:r>
                </w:p>
              </w:tc>
              <w:tc>
                <w:tcPr>
                  <w:tcW w:w="415"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100</w:t>
                  </w:r>
                </w:p>
              </w:tc>
              <w:tc>
                <w:tcPr>
                  <w:tcW w:w="410"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综合利用</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100</w:t>
                  </w:r>
                </w:p>
              </w:tc>
              <w:tc>
                <w:tcPr>
                  <w:tcW w:w="1183"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1" w:type="pct"/>
                  <w:vAlign w:val="center"/>
                </w:tcPr>
                <w:p>
                  <w:pPr>
                    <w:tabs>
                      <w:tab w:val="left" w:pos="1080"/>
                    </w:tabs>
                    <w:adjustRightInd w:val="0"/>
                    <w:snapToGrid w:val="0"/>
                    <w:spacing w:line="240" w:lineRule="auto"/>
                    <w:ind w:firstLine="0" w:firstLineChars="0"/>
                    <w:jc w:val="center"/>
                    <w:rPr>
                      <w:rFonts w:hint="eastAsia" w:cs="Times New Roman"/>
                      <w:color w:val="0000FF"/>
                      <w:kern w:val="0"/>
                      <w:sz w:val="21"/>
                      <w:szCs w:val="21"/>
                      <w:lang w:val="en-US" w:eastAsia="zh-CN" w:bidi="ar-SA"/>
                    </w:rPr>
                  </w:pPr>
                  <w:r>
                    <w:rPr>
                      <w:rFonts w:hint="eastAsia" w:cs="Times New Roman"/>
                      <w:color w:val="0000FF"/>
                      <w:kern w:val="0"/>
                      <w:sz w:val="21"/>
                      <w:szCs w:val="21"/>
                      <w:lang w:val="en-US" w:eastAsia="zh-CN" w:bidi="ar-SA"/>
                    </w:rPr>
                    <w:t>挤出</w:t>
                  </w:r>
                </w:p>
              </w:tc>
              <w:tc>
                <w:tcPr>
                  <w:tcW w:w="535"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FF"/>
                      <w:kern w:val="0"/>
                      <w:sz w:val="21"/>
                      <w:szCs w:val="21"/>
                      <w:lang w:val="en-US" w:eastAsia="zh-CN" w:bidi="ar-SA"/>
                    </w:rPr>
                  </w:pPr>
                  <w:r>
                    <w:rPr>
                      <w:rFonts w:hint="eastAsia" w:cs="Times New Roman"/>
                      <w:color w:val="0000FF"/>
                      <w:kern w:val="0"/>
                      <w:sz w:val="21"/>
                      <w:szCs w:val="21"/>
                      <w:lang w:val="en-US" w:eastAsia="zh-CN" w:bidi="ar-SA"/>
                    </w:rPr>
                    <w:t>废滤网</w:t>
                  </w:r>
                </w:p>
              </w:tc>
              <w:tc>
                <w:tcPr>
                  <w:tcW w:w="537"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FF"/>
                      <w:kern w:val="0"/>
                      <w:sz w:val="21"/>
                      <w:szCs w:val="21"/>
                      <w:lang w:val="en-US" w:eastAsia="zh-CN" w:bidi="ar-SA"/>
                    </w:rPr>
                  </w:pPr>
                  <w:r>
                    <w:rPr>
                      <w:rFonts w:hint="eastAsia" w:cs="Times New Roman"/>
                      <w:color w:val="0000FF"/>
                      <w:kern w:val="0"/>
                      <w:sz w:val="21"/>
                      <w:szCs w:val="21"/>
                      <w:lang w:val="en-US" w:eastAsia="zh-CN" w:bidi="ar-SA"/>
                    </w:rPr>
                    <w:t>废滤网</w:t>
                  </w:r>
                </w:p>
              </w:tc>
              <w:tc>
                <w:tcPr>
                  <w:tcW w:w="43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ascii="Times New Roman" w:hAnsi="Times New Roman" w:eastAsia="宋体" w:cs="Times New Roman"/>
                      <w:color w:val="0000FF"/>
                      <w:kern w:val="0"/>
                      <w:sz w:val="21"/>
                      <w:szCs w:val="21"/>
                      <w:lang w:val="en-US" w:eastAsia="zh-CN" w:bidi="ar-SA"/>
                    </w:rPr>
                  </w:pPr>
                  <w:r>
                    <w:rPr>
                      <w:rFonts w:hint="eastAsia" w:cs="Times New Roman"/>
                      <w:color w:val="0000FF"/>
                      <w:kern w:val="0"/>
                      <w:sz w:val="21"/>
                      <w:szCs w:val="21"/>
                      <w:lang w:val="en-US" w:eastAsia="zh-CN"/>
                    </w:rPr>
                    <w:t>一般固废</w:t>
                  </w:r>
                </w:p>
              </w:tc>
              <w:tc>
                <w:tcPr>
                  <w:tcW w:w="551"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FF"/>
                      <w:kern w:val="0"/>
                      <w:sz w:val="21"/>
                      <w:szCs w:val="21"/>
                      <w:lang w:val="en-US" w:eastAsia="zh-CN" w:bidi="ar-SA"/>
                    </w:rPr>
                  </w:pPr>
                  <w:r>
                    <w:rPr>
                      <w:rFonts w:hint="default" w:ascii="Times New Roman" w:hAnsi="Times New Roman" w:cs="Times New Roman"/>
                      <w:color w:val="0000FF"/>
                      <w:kern w:val="0"/>
                      <w:sz w:val="21"/>
                      <w:szCs w:val="21"/>
                    </w:rPr>
                    <w:t>产污系数法</w:t>
                  </w:r>
                </w:p>
              </w:tc>
              <w:tc>
                <w:tcPr>
                  <w:tcW w:w="415"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FF"/>
                      <w:kern w:val="0"/>
                      <w:sz w:val="21"/>
                      <w:szCs w:val="21"/>
                      <w:lang w:val="en-US" w:eastAsia="zh-CN" w:bidi="ar-SA"/>
                    </w:rPr>
                  </w:pPr>
                  <w:r>
                    <w:rPr>
                      <w:rFonts w:hint="eastAsia" w:cs="Times New Roman"/>
                      <w:color w:val="0000FF"/>
                      <w:kern w:val="0"/>
                      <w:sz w:val="21"/>
                      <w:szCs w:val="21"/>
                      <w:lang w:val="en-US" w:eastAsia="zh-CN"/>
                    </w:rPr>
                    <w:t>0.48</w:t>
                  </w:r>
                </w:p>
              </w:tc>
              <w:tc>
                <w:tcPr>
                  <w:tcW w:w="410" w:type="pct"/>
                  <w:vAlign w:val="center"/>
                </w:tcPr>
                <w:p>
                  <w:pPr>
                    <w:widowControl/>
                    <w:adjustRightInd w:val="0"/>
                    <w:snapToGrid w:val="0"/>
                    <w:spacing w:line="240" w:lineRule="auto"/>
                    <w:ind w:firstLine="0" w:firstLineChars="0"/>
                    <w:jc w:val="center"/>
                    <w:rPr>
                      <w:rFonts w:hint="eastAsia" w:cs="Times New Roman"/>
                      <w:color w:val="0000FF"/>
                      <w:kern w:val="0"/>
                      <w:sz w:val="21"/>
                      <w:szCs w:val="21"/>
                      <w:lang w:eastAsia="zh-CN"/>
                    </w:rPr>
                  </w:pPr>
                  <w:r>
                    <w:rPr>
                      <w:rFonts w:hint="eastAsia" w:cs="Times New Roman"/>
                      <w:color w:val="0000FF"/>
                      <w:kern w:val="0"/>
                      <w:sz w:val="21"/>
                      <w:szCs w:val="21"/>
                      <w:lang w:eastAsia="zh-CN"/>
                    </w:rPr>
                    <w:t>综合利用</w:t>
                  </w:r>
                </w:p>
              </w:tc>
              <w:tc>
                <w:tcPr>
                  <w:tcW w:w="406" w:type="pct"/>
                  <w:vAlign w:val="center"/>
                </w:tcPr>
                <w:p>
                  <w:pPr>
                    <w:widowControl/>
                    <w:adjustRightInd w:val="0"/>
                    <w:snapToGrid w:val="0"/>
                    <w:spacing w:line="240" w:lineRule="auto"/>
                    <w:ind w:firstLine="0" w:firstLineChars="0"/>
                    <w:jc w:val="center"/>
                    <w:rPr>
                      <w:rFonts w:hint="default" w:cs="Times New Roman"/>
                      <w:color w:val="0000FF"/>
                      <w:kern w:val="0"/>
                      <w:sz w:val="21"/>
                      <w:szCs w:val="21"/>
                      <w:lang w:val="en-US" w:eastAsia="zh-CN" w:bidi="ar-SA"/>
                    </w:rPr>
                  </w:pPr>
                  <w:r>
                    <w:rPr>
                      <w:rFonts w:hint="eastAsia" w:cs="Times New Roman"/>
                      <w:color w:val="0000FF"/>
                      <w:kern w:val="0"/>
                      <w:sz w:val="21"/>
                      <w:szCs w:val="21"/>
                      <w:lang w:val="en-US" w:eastAsia="zh-CN" w:bidi="ar-SA"/>
                    </w:rPr>
                    <w:t>0.48</w:t>
                  </w:r>
                </w:p>
              </w:tc>
              <w:tc>
                <w:tcPr>
                  <w:tcW w:w="1183" w:type="pct"/>
                  <w:vAlign w:val="center"/>
                </w:tcPr>
                <w:p>
                  <w:pPr>
                    <w:widowControl/>
                    <w:adjustRightInd w:val="0"/>
                    <w:snapToGrid w:val="0"/>
                    <w:spacing w:line="240" w:lineRule="auto"/>
                    <w:ind w:firstLine="0" w:firstLineChars="0"/>
                    <w:jc w:val="center"/>
                    <w:rPr>
                      <w:rFonts w:hint="eastAsia" w:cs="Times New Roman"/>
                      <w:color w:val="0000FF"/>
                      <w:kern w:val="0"/>
                      <w:sz w:val="21"/>
                      <w:szCs w:val="21"/>
                      <w:lang w:eastAsia="zh-CN"/>
                    </w:rPr>
                  </w:pPr>
                  <w:r>
                    <w:rPr>
                      <w:rFonts w:hint="eastAsia" w:cs="Times New Roman"/>
                      <w:color w:val="0000FF"/>
                      <w:kern w:val="0"/>
                      <w:sz w:val="21"/>
                      <w:szCs w:val="21"/>
                      <w:lang w:eastAsia="zh-CN"/>
                    </w:rPr>
                    <w:t>出售给相关企业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1" w:type="pct"/>
                  <w:vMerge w:val="restar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废气处理</w:t>
                  </w:r>
                </w:p>
              </w:tc>
              <w:tc>
                <w:tcPr>
                  <w:tcW w:w="53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布袋除尘器</w:t>
                  </w:r>
                </w:p>
              </w:tc>
              <w:tc>
                <w:tcPr>
                  <w:tcW w:w="537"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除尘灰</w:t>
                  </w:r>
                </w:p>
              </w:tc>
              <w:tc>
                <w:tcPr>
                  <w:tcW w:w="438"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一般固废</w:t>
                  </w:r>
                </w:p>
              </w:tc>
              <w:tc>
                <w:tcPr>
                  <w:tcW w:w="551"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物料衡算法</w:t>
                  </w:r>
                </w:p>
              </w:tc>
              <w:tc>
                <w:tcPr>
                  <w:tcW w:w="415"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34.64</w:t>
                  </w:r>
                </w:p>
              </w:tc>
              <w:tc>
                <w:tcPr>
                  <w:tcW w:w="410"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综合</w:t>
                  </w:r>
                  <w:r>
                    <w:rPr>
                      <w:rFonts w:hint="eastAsia" w:cs="Times New Roman"/>
                      <w:color w:val="000000" w:themeColor="text1"/>
                      <w:kern w:val="0"/>
                      <w:sz w:val="21"/>
                      <w:szCs w:val="21"/>
                      <w:lang w:eastAsia="zh-CN"/>
                      <w14:textFill>
                        <w14:solidFill>
                          <w14:schemeClr w14:val="tx1"/>
                        </w14:solidFill>
                      </w14:textFill>
                    </w:rPr>
                    <w:t>利用</w:t>
                  </w:r>
                </w:p>
              </w:tc>
              <w:tc>
                <w:tcPr>
                  <w:tcW w:w="406"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34.64</w:t>
                  </w:r>
                </w:p>
              </w:tc>
              <w:tc>
                <w:tcPr>
                  <w:tcW w:w="1183"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bCs/>
                      <w:snapToGrid w:val="0"/>
                      <w:color w:val="000000" w:themeColor="text1"/>
                      <w:sz w:val="21"/>
                      <w:szCs w:val="21"/>
                      <w:lang w:eastAsia="zh-CN"/>
                      <w14:textFill>
                        <w14:solidFill>
                          <w14:schemeClr w14:val="tx1"/>
                        </w14:solidFill>
                      </w14:textFill>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1" w:type="pct"/>
                  <w:vMerge w:val="continue"/>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p>
              </w:tc>
              <w:tc>
                <w:tcPr>
                  <w:tcW w:w="535"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布袋除尘器</w:t>
                  </w:r>
                </w:p>
              </w:tc>
              <w:tc>
                <w:tcPr>
                  <w:tcW w:w="537"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废布袋</w:t>
                  </w:r>
                </w:p>
              </w:tc>
              <w:tc>
                <w:tcPr>
                  <w:tcW w:w="438"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一般固废</w:t>
                  </w:r>
                </w:p>
              </w:tc>
              <w:tc>
                <w:tcPr>
                  <w:tcW w:w="551" w:type="pct"/>
                  <w:vAlign w:val="center"/>
                </w:tcPr>
                <w:p>
                  <w:pPr>
                    <w:widowControl/>
                    <w:adjustRightInd w:val="0"/>
                    <w:snapToGrid w:val="0"/>
                    <w:spacing w:line="240" w:lineRule="auto"/>
                    <w:ind w:firstLine="0" w:firstLineChars="0"/>
                    <w:jc w:val="center"/>
                    <w:rPr>
                      <w:rFonts w:hint="eastAsia"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类比法</w:t>
                  </w:r>
                </w:p>
              </w:tc>
              <w:tc>
                <w:tcPr>
                  <w:tcW w:w="415"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0.2</w:t>
                  </w:r>
                </w:p>
              </w:tc>
              <w:tc>
                <w:tcPr>
                  <w:tcW w:w="410" w:type="pct"/>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综合利用</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0.2</w:t>
                  </w:r>
                </w:p>
              </w:tc>
              <w:tc>
                <w:tcPr>
                  <w:tcW w:w="1183"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由除尘器厂家回收带走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1" w:type="pct"/>
                  <w:vMerge w:val="continue"/>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p>
              </w:tc>
              <w:tc>
                <w:tcPr>
                  <w:tcW w:w="535"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UV光解</w:t>
                  </w:r>
                </w:p>
              </w:tc>
              <w:tc>
                <w:tcPr>
                  <w:tcW w:w="537" w:type="pct"/>
                  <w:vAlign w:val="center"/>
                </w:tcPr>
                <w:p>
                  <w:pPr>
                    <w:tabs>
                      <w:tab w:val="left" w:pos="1080"/>
                    </w:tabs>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废UV灯管</w:t>
                  </w:r>
                </w:p>
              </w:tc>
              <w:tc>
                <w:tcPr>
                  <w:tcW w:w="438"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危险废物</w:t>
                  </w:r>
                </w:p>
              </w:tc>
              <w:tc>
                <w:tcPr>
                  <w:tcW w:w="551"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类比法</w:t>
                  </w:r>
                </w:p>
              </w:tc>
              <w:tc>
                <w:tcPr>
                  <w:tcW w:w="415"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0.05</w:t>
                  </w:r>
                </w:p>
              </w:tc>
              <w:tc>
                <w:tcPr>
                  <w:tcW w:w="410"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委托处置</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0.05</w:t>
                  </w:r>
                </w:p>
              </w:tc>
              <w:tc>
                <w:tcPr>
                  <w:tcW w:w="1183" w:type="pct"/>
                  <w:vMerge w:val="restar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eastAsia" w:cs="Times New Roman"/>
                      <w:bCs/>
                      <w:snapToGrid w:val="0"/>
                      <w:color w:val="000000" w:themeColor="text1"/>
                      <w:sz w:val="21"/>
                      <w:szCs w:val="21"/>
                      <w:lang w:eastAsia="zh-CN"/>
                      <w14:textFill>
                        <w14:solidFill>
                          <w14:schemeClr w14:val="tx1"/>
                        </w14:solidFill>
                      </w14:textFill>
                    </w:rPr>
                    <w:t>委托有危废处置资质单位处置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1" w:type="pct"/>
                  <w:vMerge w:val="continue"/>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p>
              </w:tc>
              <w:tc>
                <w:tcPr>
                  <w:tcW w:w="535"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活性炭吸附装置</w:t>
                  </w:r>
                </w:p>
              </w:tc>
              <w:tc>
                <w:tcPr>
                  <w:tcW w:w="537"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废活性炭</w:t>
                  </w:r>
                </w:p>
              </w:tc>
              <w:tc>
                <w:tcPr>
                  <w:tcW w:w="438"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危险废物</w:t>
                  </w:r>
                </w:p>
              </w:tc>
              <w:tc>
                <w:tcPr>
                  <w:tcW w:w="551"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产污系数</w:t>
                  </w:r>
                </w:p>
              </w:tc>
              <w:tc>
                <w:tcPr>
                  <w:tcW w:w="415"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12.638</w:t>
                  </w:r>
                </w:p>
              </w:tc>
              <w:tc>
                <w:tcPr>
                  <w:tcW w:w="410"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eastAsia="zh-CN"/>
                      <w14:textFill>
                        <w14:solidFill>
                          <w14:schemeClr w14:val="tx1"/>
                        </w14:solidFill>
                      </w14:textFill>
                    </w:rPr>
                    <w:t>委托处置</w:t>
                  </w:r>
                </w:p>
              </w:tc>
              <w:tc>
                <w:tcPr>
                  <w:tcW w:w="406" w:type="pct"/>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12.638</w:t>
                  </w:r>
                </w:p>
              </w:tc>
              <w:tc>
                <w:tcPr>
                  <w:tcW w:w="1183" w:type="pct"/>
                  <w:vMerge w:val="continue"/>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1" w:type="pct"/>
                  <w:vAlign w:val="center"/>
                </w:tcPr>
                <w:p>
                  <w:pPr>
                    <w:tabs>
                      <w:tab w:val="left" w:pos="1080"/>
                    </w:tabs>
                    <w:adjustRightInd w:val="0"/>
                    <w:snapToGrid w:val="0"/>
                    <w:spacing w:line="240" w:lineRule="auto"/>
                    <w:ind w:firstLine="0" w:firstLineChars="0"/>
                    <w:jc w:val="center"/>
                    <w:rPr>
                      <w:rFonts w:hint="eastAsia" w:cs="Times New Roman"/>
                      <w:color w:val="0000FF"/>
                      <w:kern w:val="0"/>
                      <w:sz w:val="21"/>
                      <w:szCs w:val="21"/>
                      <w:lang w:val="en-US" w:eastAsia="zh-CN" w:bidi="ar-SA"/>
                    </w:rPr>
                  </w:pPr>
                  <w:r>
                    <w:rPr>
                      <w:rFonts w:hint="eastAsia" w:cs="Times New Roman"/>
                      <w:color w:val="0000FF"/>
                      <w:kern w:val="0"/>
                      <w:sz w:val="21"/>
                      <w:szCs w:val="21"/>
                      <w:lang w:val="en-US" w:eastAsia="zh-CN" w:bidi="ar-SA"/>
                    </w:rPr>
                    <w:t>设备保养</w:t>
                  </w:r>
                </w:p>
              </w:tc>
              <w:tc>
                <w:tcPr>
                  <w:tcW w:w="535" w:type="pct"/>
                  <w:vAlign w:val="center"/>
                </w:tcPr>
                <w:p>
                  <w:pPr>
                    <w:widowControl/>
                    <w:adjustRightInd w:val="0"/>
                    <w:snapToGrid w:val="0"/>
                    <w:spacing w:line="240" w:lineRule="auto"/>
                    <w:ind w:firstLine="0" w:firstLineChars="0"/>
                    <w:jc w:val="center"/>
                    <w:rPr>
                      <w:rFonts w:hint="eastAsia" w:cs="Times New Roman"/>
                      <w:color w:val="0000FF"/>
                      <w:kern w:val="0"/>
                      <w:sz w:val="21"/>
                      <w:szCs w:val="21"/>
                      <w:lang w:val="en-US" w:eastAsia="zh-CN" w:bidi="ar-SA"/>
                    </w:rPr>
                  </w:pPr>
                  <w:r>
                    <w:rPr>
                      <w:rFonts w:hint="eastAsia" w:cs="Times New Roman"/>
                      <w:color w:val="0000FF"/>
                      <w:kern w:val="0"/>
                      <w:sz w:val="21"/>
                      <w:szCs w:val="21"/>
                      <w:lang w:val="en-US" w:eastAsia="zh-CN" w:bidi="ar-SA"/>
                    </w:rPr>
                    <w:t>废矿物油</w:t>
                  </w:r>
                </w:p>
              </w:tc>
              <w:tc>
                <w:tcPr>
                  <w:tcW w:w="537" w:type="pct"/>
                  <w:vAlign w:val="center"/>
                </w:tcPr>
                <w:p>
                  <w:pPr>
                    <w:widowControl/>
                    <w:adjustRightInd w:val="0"/>
                    <w:snapToGrid w:val="0"/>
                    <w:spacing w:line="240" w:lineRule="auto"/>
                    <w:ind w:firstLine="0" w:firstLineChars="0"/>
                    <w:jc w:val="center"/>
                    <w:rPr>
                      <w:rFonts w:hint="eastAsia" w:cs="Times New Roman"/>
                      <w:color w:val="0000FF"/>
                      <w:kern w:val="0"/>
                      <w:sz w:val="21"/>
                      <w:szCs w:val="21"/>
                      <w:lang w:val="en-US" w:eastAsia="zh-CN" w:bidi="ar-SA"/>
                    </w:rPr>
                  </w:pPr>
                  <w:r>
                    <w:rPr>
                      <w:rFonts w:hint="eastAsia" w:cs="Times New Roman"/>
                      <w:color w:val="0000FF"/>
                      <w:kern w:val="0"/>
                      <w:sz w:val="21"/>
                      <w:szCs w:val="21"/>
                      <w:lang w:val="en-US" w:eastAsia="zh-CN" w:bidi="ar-SA"/>
                    </w:rPr>
                    <w:t>废矿物油</w:t>
                  </w:r>
                </w:p>
              </w:tc>
              <w:tc>
                <w:tcPr>
                  <w:tcW w:w="438"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eastAsia" w:cs="Times New Roman"/>
                      <w:color w:val="0000FF"/>
                      <w:kern w:val="0"/>
                      <w:sz w:val="21"/>
                      <w:szCs w:val="21"/>
                      <w:lang w:val="en-US" w:eastAsia="zh-CN"/>
                    </w:rPr>
                  </w:pPr>
                  <w:r>
                    <w:rPr>
                      <w:rFonts w:hint="eastAsia" w:cs="Times New Roman"/>
                      <w:color w:val="0000FF"/>
                      <w:kern w:val="0"/>
                      <w:sz w:val="21"/>
                      <w:szCs w:val="21"/>
                      <w:lang w:val="en-US" w:eastAsia="zh-CN"/>
                    </w:rPr>
                    <w:t>危险废物</w:t>
                  </w:r>
                </w:p>
              </w:tc>
              <w:tc>
                <w:tcPr>
                  <w:tcW w:w="551" w:type="pct"/>
                  <w:vAlign w:val="center"/>
                </w:tcPr>
                <w:p>
                  <w:pPr>
                    <w:widowControl/>
                    <w:adjustRightInd w:val="0"/>
                    <w:snapToGrid w:val="0"/>
                    <w:spacing w:line="240" w:lineRule="auto"/>
                    <w:ind w:firstLine="0" w:firstLineChars="0"/>
                    <w:jc w:val="center"/>
                    <w:rPr>
                      <w:rFonts w:hint="eastAsia" w:cs="Times New Roman"/>
                      <w:color w:val="0000FF"/>
                      <w:kern w:val="0"/>
                      <w:sz w:val="21"/>
                      <w:szCs w:val="21"/>
                      <w:lang w:eastAsia="zh-CN"/>
                    </w:rPr>
                  </w:pPr>
                  <w:r>
                    <w:rPr>
                      <w:rFonts w:hint="eastAsia" w:cs="Times New Roman"/>
                      <w:color w:val="0000FF"/>
                      <w:kern w:val="0"/>
                      <w:sz w:val="21"/>
                      <w:szCs w:val="21"/>
                      <w:lang w:eastAsia="zh-CN"/>
                    </w:rPr>
                    <w:t>类比法</w:t>
                  </w:r>
                </w:p>
              </w:tc>
              <w:tc>
                <w:tcPr>
                  <w:tcW w:w="415" w:type="pct"/>
                  <w:vAlign w:val="center"/>
                </w:tcPr>
                <w:p>
                  <w:pPr>
                    <w:widowControl/>
                    <w:adjustRightInd w:val="0"/>
                    <w:snapToGrid w:val="0"/>
                    <w:spacing w:line="240" w:lineRule="auto"/>
                    <w:ind w:firstLine="0" w:firstLineChars="0"/>
                    <w:jc w:val="center"/>
                    <w:rPr>
                      <w:rFonts w:hint="default" w:cs="Times New Roman"/>
                      <w:color w:val="0000FF"/>
                      <w:kern w:val="0"/>
                      <w:sz w:val="21"/>
                      <w:szCs w:val="21"/>
                      <w:lang w:val="en-US" w:eastAsia="zh-CN"/>
                    </w:rPr>
                  </w:pPr>
                  <w:r>
                    <w:rPr>
                      <w:rFonts w:hint="eastAsia" w:cs="Times New Roman"/>
                      <w:color w:val="0000FF"/>
                      <w:kern w:val="0"/>
                      <w:sz w:val="21"/>
                      <w:szCs w:val="21"/>
                      <w:lang w:val="en-US" w:eastAsia="zh-CN"/>
                    </w:rPr>
                    <w:t>0.2</w:t>
                  </w:r>
                </w:p>
              </w:tc>
              <w:tc>
                <w:tcPr>
                  <w:tcW w:w="410" w:type="pct"/>
                  <w:vAlign w:val="center"/>
                </w:tcPr>
                <w:p>
                  <w:pPr>
                    <w:widowControl/>
                    <w:adjustRightInd w:val="0"/>
                    <w:snapToGrid w:val="0"/>
                    <w:spacing w:line="240" w:lineRule="auto"/>
                    <w:ind w:firstLine="0" w:firstLineChars="0"/>
                    <w:jc w:val="center"/>
                    <w:rPr>
                      <w:rFonts w:hint="eastAsia" w:cs="Times New Roman"/>
                      <w:color w:val="0000FF"/>
                      <w:kern w:val="0"/>
                      <w:sz w:val="21"/>
                      <w:szCs w:val="21"/>
                      <w:lang w:eastAsia="zh-CN"/>
                    </w:rPr>
                  </w:pPr>
                  <w:r>
                    <w:rPr>
                      <w:rFonts w:hint="eastAsia" w:cs="Times New Roman"/>
                      <w:color w:val="0000FF"/>
                      <w:kern w:val="0"/>
                      <w:sz w:val="21"/>
                      <w:szCs w:val="21"/>
                      <w:lang w:eastAsia="zh-CN"/>
                    </w:rPr>
                    <w:t>委托处置</w:t>
                  </w:r>
                </w:p>
              </w:tc>
              <w:tc>
                <w:tcPr>
                  <w:tcW w:w="406" w:type="pct"/>
                  <w:vAlign w:val="center"/>
                </w:tcPr>
                <w:p>
                  <w:pPr>
                    <w:widowControl/>
                    <w:adjustRightInd w:val="0"/>
                    <w:snapToGrid w:val="0"/>
                    <w:spacing w:line="240" w:lineRule="auto"/>
                    <w:ind w:firstLine="0" w:firstLineChars="0"/>
                    <w:jc w:val="center"/>
                    <w:rPr>
                      <w:rFonts w:hint="default" w:cs="Times New Roman"/>
                      <w:color w:val="0000FF"/>
                      <w:kern w:val="0"/>
                      <w:sz w:val="21"/>
                      <w:szCs w:val="21"/>
                      <w:lang w:val="en-US" w:eastAsia="zh-CN"/>
                    </w:rPr>
                  </w:pPr>
                  <w:r>
                    <w:rPr>
                      <w:rFonts w:hint="eastAsia" w:cs="Times New Roman"/>
                      <w:color w:val="0000FF"/>
                      <w:kern w:val="0"/>
                      <w:sz w:val="21"/>
                      <w:szCs w:val="21"/>
                      <w:lang w:val="en-US" w:eastAsia="zh-CN"/>
                    </w:rPr>
                    <w:t>0.2</w:t>
                  </w:r>
                </w:p>
              </w:tc>
              <w:tc>
                <w:tcPr>
                  <w:tcW w:w="1183" w:type="pct"/>
                  <w:vMerge w:val="continue"/>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21" w:type="pct"/>
                  <w:vAlign w:val="center"/>
                </w:tcPr>
                <w:p>
                  <w:pPr>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员工生产、生活</w:t>
                  </w:r>
                </w:p>
              </w:tc>
              <w:tc>
                <w:tcPr>
                  <w:tcW w:w="535"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垃圾桶</w:t>
                  </w:r>
                </w:p>
              </w:tc>
              <w:tc>
                <w:tcPr>
                  <w:tcW w:w="537"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生活垃圾</w:t>
                  </w:r>
                </w:p>
              </w:tc>
              <w:tc>
                <w:tcPr>
                  <w:tcW w:w="438"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w:t>
                  </w:r>
                </w:p>
              </w:tc>
              <w:tc>
                <w:tcPr>
                  <w:tcW w:w="551"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产污系数法</w:t>
                  </w:r>
                </w:p>
              </w:tc>
              <w:tc>
                <w:tcPr>
                  <w:tcW w:w="415"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15</w:t>
                  </w:r>
                </w:p>
              </w:tc>
              <w:tc>
                <w:tcPr>
                  <w:tcW w:w="410" w:type="pct"/>
                  <w:vAlign w:val="center"/>
                </w:tcPr>
                <w:p>
                  <w:pPr>
                    <w:widowControl/>
                    <w:adjustRightInd w:val="0"/>
                    <w:snapToGrid w:val="0"/>
                    <w:spacing w:line="240" w:lineRule="auto"/>
                    <w:ind w:firstLine="0" w:firstLineChars="0"/>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环卫清运</w:t>
                  </w:r>
                </w:p>
              </w:tc>
              <w:tc>
                <w:tcPr>
                  <w:tcW w:w="406" w:type="pct"/>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15</w:t>
                  </w:r>
                </w:p>
              </w:tc>
              <w:tc>
                <w:tcPr>
                  <w:tcW w:w="1183" w:type="pct"/>
                  <w:vAlign w:val="center"/>
                </w:tcPr>
                <w:p>
                  <w:pPr>
                    <w:widowControl/>
                    <w:adjustRightInd w:val="0"/>
                    <w:snapToGrid w:val="0"/>
                    <w:spacing w:line="240" w:lineRule="auto"/>
                    <w:ind w:firstLine="0" w:firstLineChars="0"/>
                    <w:jc w:val="center"/>
                    <w:rPr>
                      <w:rFonts w:hint="eastAsia" w:cs="Times New Roman"/>
                      <w:color w:val="000000" w:themeColor="text1"/>
                      <w:kern w:val="0"/>
                      <w:sz w:val="21"/>
                      <w:szCs w:val="21"/>
                      <w:lang w:eastAsia="zh-CN"/>
                      <w14:textFill>
                        <w14:solidFill>
                          <w14:schemeClr w14:val="tx1"/>
                        </w14:solidFill>
                      </w14:textFill>
                    </w:rPr>
                  </w:pPr>
                  <w:r>
                    <w:rPr>
                      <w:rFonts w:hint="default" w:ascii="Times New Roman" w:hAnsi="Times New Roman" w:cs="Times New Roman"/>
                      <w:bCs/>
                      <w:snapToGrid w:val="0"/>
                      <w:color w:val="000000" w:themeColor="text1"/>
                      <w:sz w:val="21"/>
                      <w:szCs w:val="21"/>
                      <w14:textFill>
                        <w14:solidFill>
                          <w14:schemeClr w14:val="tx1"/>
                        </w14:solidFill>
                      </w14:textFill>
                    </w:rPr>
                    <w:t>委托当地环卫部门统一清运处置</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cs="Times New Roman"/>
                <w:snapToGrid w:val="0"/>
                <w:color w:val="000000" w:themeColor="text1"/>
                <w:lang w:eastAsia="zh-CN"/>
                <w14:textFill>
                  <w14:solidFill>
                    <w14:schemeClr w14:val="tx1"/>
                  </w14:solidFill>
                </w14:textFill>
              </w:rPr>
            </w:pPr>
            <w:r>
              <w:rPr>
                <w:rFonts w:hint="eastAsia" w:ascii="Times New Roman" w:hAnsi="Times New Roman" w:cs="Times New Roman"/>
                <w:snapToGrid w:val="0"/>
                <w:color w:val="000000" w:themeColor="text1"/>
                <w:lang w:eastAsia="zh-CN"/>
                <w14:textFill>
                  <w14:solidFill>
                    <w14:schemeClr w14:val="tx1"/>
                  </w14:solidFill>
                </w14:textFill>
              </w:rPr>
              <w:t>源强计算简述：</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cs="Times New Roman"/>
                <w:snapToGrid w:val="0"/>
                <w:color w:val="000000" w:themeColor="text1"/>
                <w:lang w:val="en-US" w:eastAsia="zh-CN"/>
                <w14:textFill>
                  <w14:solidFill>
                    <w14:schemeClr w14:val="tx1"/>
                  </w14:solidFill>
                </w14:textFill>
              </w:rPr>
            </w:pPr>
            <w:r>
              <w:rPr>
                <w:rFonts w:hint="eastAsia" w:ascii="Times New Roman" w:hAnsi="Times New Roman" w:cs="Times New Roman"/>
                <w:snapToGrid w:val="0"/>
                <w:color w:val="000000" w:themeColor="text1"/>
                <w:lang w:eastAsia="zh-CN"/>
                <w14:textFill>
                  <w14:solidFill>
                    <w14:schemeClr w14:val="tx1"/>
                  </w14:solidFill>
                </w14:textFill>
              </w:rPr>
              <w:t>除尘灰</w:t>
            </w:r>
            <w:r>
              <w:rPr>
                <w:rFonts w:hint="eastAsia" w:cs="Times New Roman"/>
                <w:snapToGrid w:val="0"/>
                <w:color w:val="000000" w:themeColor="text1"/>
                <w:lang w:eastAsia="zh-CN"/>
                <w14:textFill>
                  <w14:solidFill>
                    <w14:schemeClr w14:val="tx1"/>
                  </w14:solidFill>
                </w14:textFill>
              </w:rPr>
              <w:t>：</w:t>
            </w:r>
            <w:r>
              <w:rPr>
                <w:rFonts w:hint="eastAsia" w:ascii="Times New Roman" w:hAnsi="Times New Roman" w:cs="Times New Roman"/>
                <w:snapToGrid w:val="0"/>
                <w:color w:val="000000" w:themeColor="text1"/>
                <w:lang w:eastAsia="zh-CN"/>
                <w14:textFill>
                  <w14:solidFill>
                    <w14:schemeClr w14:val="tx1"/>
                  </w14:solidFill>
                </w14:textFill>
              </w:rPr>
              <w:t>根据</w:t>
            </w:r>
            <w:r>
              <w:rPr>
                <w:rFonts w:hint="eastAsia" w:cs="Times New Roman"/>
                <w:snapToGrid w:val="0"/>
                <w:color w:val="000000" w:themeColor="text1"/>
                <w:lang w:eastAsia="zh-CN"/>
                <w14:textFill>
                  <w14:solidFill>
                    <w14:schemeClr w14:val="tx1"/>
                  </w14:solidFill>
                </w14:textFill>
              </w:rPr>
              <w:t>工程分析可知</w:t>
            </w:r>
            <w:r>
              <w:rPr>
                <w:rFonts w:hint="eastAsia" w:ascii="Times New Roman" w:hAnsi="Times New Roman" w:cs="Times New Roman"/>
                <w:snapToGrid w:val="0"/>
                <w:color w:val="000000" w:themeColor="text1"/>
                <w:lang w:eastAsia="zh-CN"/>
                <w14:textFill>
                  <w14:solidFill>
                    <w14:schemeClr w14:val="tx1"/>
                  </w14:solidFill>
                </w14:textFill>
              </w:rPr>
              <w:t>，约</w:t>
            </w:r>
            <w:r>
              <w:rPr>
                <w:rFonts w:hint="eastAsia" w:cs="Times New Roman"/>
                <w:snapToGrid w:val="0"/>
                <w:color w:val="000000" w:themeColor="text1"/>
                <w:lang w:val="en-US" w:eastAsia="zh-CN"/>
                <w14:textFill>
                  <w14:solidFill>
                    <w14:schemeClr w14:val="tx1"/>
                  </w14:solidFill>
                </w14:textFill>
              </w:rPr>
              <w:t>34.64</w:t>
            </w:r>
            <w:r>
              <w:rPr>
                <w:rFonts w:hint="eastAsia" w:ascii="Times New Roman" w:hAnsi="Times New Roman" w:cs="Times New Roman"/>
                <w:snapToGrid w:val="0"/>
                <w:color w:val="000000" w:themeColor="text1"/>
                <w:lang w:val="en-US" w:eastAsia="zh-CN"/>
                <w14:textFill>
                  <w14:solidFill>
                    <w14:schemeClr w14:val="tx1"/>
                  </w14:solidFill>
                </w14:textFill>
              </w:rPr>
              <w:t>t/a</w:t>
            </w:r>
            <w:r>
              <w:rPr>
                <w:rFonts w:hint="eastAsia" w:cs="Times New Roman"/>
                <w:snapToGrid w:val="0"/>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cs="Times New Roman"/>
                <w:snapToGrid w:val="0"/>
                <w:color w:val="000000" w:themeColor="text1"/>
                <w:lang w:val="en-US" w:eastAsia="zh-CN"/>
                <w14:textFill>
                  <w14:solidFill>
                    <w14:schemeClr w14:val="tx1"/>
                  </w14:solidFill>
                </w14:textFill>
              </w:rPr>
            </w:pPr>
            <w:r>
              <w:rPr>
                <w:rFonts w:hint="eastAsia" w:cs="Times New Roman"/>
                <w:snapToGrid w:val="0"/>
                <w:color w:val="000000" w:themeColor="text1"/>
                <w:lang w:val="en-US" w:eastAsia="zh-CN"/>
                <w14:textFill>
                  <w14:solidFill>
                    <w14:schemeClr w14:val="tx1"/>
                  </w14:solidFill>
                </w14:textFill>
              </w:rPr>
              <w:t>废布袋：</w:t>
            </w:r>
            <w:r>
              <w:rPr>
                <w:rFonts w:hint="eastAsia" w:ascii="Times New Roman" w:hAnsi="Times New Roman" w:cs="Times New Roman"/>
                <w:snapToGrid w:val="0"/>
                <w:color w:val="000000" w:themeColor="text1"/>
                <w:lang w:val="en-US" w:eastAsia="zh-CN"/>
                <w14:textFill>
                  <w14:solidFill>
                    <w14:schemeClr w14:val="tx1"/>
                  </w14:solidFill>
                </w14:textFill>
              </w:rPr>
              <w:t>废布袋产生量按1年更换1次估算，约0.</w:t>
            </w:r>
            <w:r>
              <w:rPr>
                <w:rFonts w:hint="eastAsia" w:cs="Times New Roman"/>
                <w:snapToGrid w:val="0"/>
                <w:color w:val="000000" w:themeColor="text1"/>
                <w:lang w:val="en-US" w:eastAsia="zh-CN"/>
                <w14:textFill>
                  <w14:solidFill>
                    <w14:schemeClr w14:val="tx1"/>
                  </w14:solidFill>
                </w14:textFill>
              </w:rPr>
              <w:t>2</w:t>
            </w:r>
            <w:r>
              <w:rPr>
                <w:rFonts w:hint="eastAsia" w:ascii="Times New Roman" w:hAnsi="Times New Roman" w:cs="Times New Roman"/>
                <w:snapToGrid w:val="0"/>
                <w:color w:val="000000" w:themeColor="text1"/>
                <w:lang w:val="en-US" w:eastAsia="zh-CN"/>
                <w14:textFill>
                  <w14:solidFill>
                    <w14:schemeClr w14:val="tx1"/>
                  </w14:solidFill>
                </w14:textFill>
              </w:rPr>
              <w:t>t/a</w:t>
            </w:r>
            <w:r>
              <w:rPr>
                <w:rFonts w:hint="eastAsia" w:cs="Times New Roman"/>
                <w:snapToGrid w:val="0"/>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cs="Times New Roman"/>
                <w:snapToGrid w:val="0"/>
                <w:color w:val="000000" w:themeColor="text1"/>
                <w:lang w:val="en-US" w:eastAsia="zh-CN"/>
                <w14:textFill>
                  <w14:solidFill>
                    <w14:schemeClr w14:val="tx1"/>
                  </w14:solidFill>
                </w14:textFill>
              </w:rPr>
            </w:pPr>
            <w:r>
              <w:rPr>
                <w:rFonts w:hint="eastAsia" w:cs="Times New Roman"/>
                <w:snapToGrid w:val="0"/>
                <w:color w:val="000000" w:themeColor="text1"/>
                <w:lang w:val="en-US" w:eastAsia="zh-CN"/>
                <w14:textFill>
                  <w14:solidFill>
                    <w14:schemeClr w14:val="tx1"/>
                  </w14:solidFill>
                </w14:textFill>
              </w:rPr>
              <w:t>废UV灯管：废UV灯管产生量按1年更换1次估算，约0.05t/a</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bCs/>
                <w:color w:val="0000FF"/>
                <w:kern w:val="0"/>
                <w:sz w:val="24"/>
                <w:szCs w:val="24"/>
              </w:rPr>
            </w:pPr>
            <w:r>
              <w:rPr>
                <w:rFonts w:hint="eastAsia" w:cs="Times New Roman"/>
                <w:snapToGrid w:val="0"/>
                <w:color w:val="0000FF"/>
                <w:lang w:val="en-US" w:eastAsia="zh-CN"/>
              </w:rPr>
              <w:t>废活性炭：</w:t>
            </w:r>
            <w:r>
              <w:rPr>
                <w:rFonts w:hint="eastAsia" w:ascii="Times New Roman" w:hAnsi="Times New Roman" w:cs="Times New Roman"/>
                <w:color w:val="0000FF"/>
                <w:lang w:val="en-US" w:eastAsia="zh-CN"/>
              </w:rPr>
              <w:t>参考《分散吸附-集中再生活性炭法挥发性有机物治理体系建设技术指南（试行）》（浙江省生态环境厅，2021年11月）附录A 废气收集参数和最少活性炭填装量参考表</w:t>
            </w:r>
            <w:r>
              <w:rPr>
                <w:rFonts w:hint="eastAsia" w:cs="Times New Roman"/>
                <w:color w:val="0000FF"/>
                <w:lang w:val="en-US" w:eastAsia="zh-CN"/>
              </w:rPr>
              <w:t>，</w:t>
            </w:r>
            <w:r>
              <w:rPr>
                <w:rFonts w:hint="eastAsia" w:ascii="Times New Roman" w:hAnsi="Times New Roman" w:cs="Times New Roman"/>
                <w:color w:val="0000FF"/>
                <w:lang w:val="en-US" w:eastAsia="zh-CN"/>
              </w:rPr>
              <w:t>本项目造粒废气初始浓度（≤200mg/m</w:t>
            </w:r>
            <w:r>
              <w:rPr>
                <w:rFonts w:hint="eastAsia" w:ascii="Times New Roman" w:hAnsi="Times New Roman" w:cs="Times New Roman"/>
                <w:color w:val="0000FF"/>
                <w:vertAlign w:val="superscript"/>
                <w:lang w:val="en-US" w:eastAsia="zh-CN"/>
              </w:rPr>
              <w:t>3</w:t>
            </w:r>
            <w:r>
              <w:rPr>
                <w:rFonts w:hint="eastAsia" w:ascii="Times New Roman" w:hAnsi="Times New Roman" w:cs="Times New Roman"/>
                <w:color w:val="0000FF"/>
                <w:lang w:val="en-US" w:eastAsia="zh-CN"/>
              </w:rPr>
              <w:t>）及风量（15000m</w:t>
            </w:r>
            <w:r>
              <w:rPr>
                <w:rFonts w:hint="eastAsia" w:ascii="Times New Roman" w:hAnsi="Times New Roman" w:cs="Times New Roman"/>
                <w:color w:val="0000FF"/>
                <w:vertAlign w:val="superscript"/>
                <w:lang w:val="en-US" w:eastAsia="zh-CN"/>
              </w:rPr>
              <w:t>3</w:t>
            </w:r>
            <w:r>
              <w:rPr>
                <w:rFonts w:hint="eastAsia" w:ascii="Times New Roman" w:hAnsi="Times New Roman" w:cs="Times New Roman"/>
                <w:color w:val="0000FF"/>
                <w:lang w:val="en-US" w:eastAsia="zh-CN"/>
              </w:rPr>
              <w:t>/h），</w:t>
            </w:r>
            <w:r>
              <w:rPr>
                <w:rFonts w:hint="eastAsia" w:cs="Times New Roman"/>
                <w:color w:val="0000FF"/>
                <w:lang w:val="en-US" w:eastAsia="zh-CN"/>
              </w:rPr>
              <w:t>因此</w:t>
            </w:r>
            <w:r>
              <w:rPr>
                <w:rFonts w:hint="eastAsia" w:ascii="Times New Roman" w:hAnsi="Times New Roman" w:cs="Times New Roman"/>
                <w:color w:val="0000FF"/>
                <w:lang w:val="en-US" w:eastAsia="zh-CN"/>
              </w:rPr>
              <w:t>本项目每次活性炭填装量2t，共需活性炭10t。</w:t>
            </w:r>
            <w:r>
              <w:rPr>
                <w:rFonts w:hint="eastAsia" w:cs="Times New Roman"/>
                <w:color w:val="0000FF"/>
                <w:lang w:val="en-US" w:eastAsia="zh-CN"/>
              </w:rPr>
              <w:t>其中约2.638t有机废气被活性炭吸附，</w:t>
            </w:r>
            <w:r>
              <w:rPr>
                <w:rFonts w:hint="default" w:ascii="Times New Roman" w:hAnsi="Times New Roman" w:eastAsia="宋体" w:cs="Times New Roman"/>
                <w:bCs/>
                <w:color w:val="0000FF"/>
                <w:kern w:val="0"/>
                <w:sz w:val="24"/>
                <w:szCs w:val="24"/>
              </w:rPr>
              <w:t>则废活性炭（含吸附的废气）产生量约为</w:t>
            </w:r>
            <w:r>
              <w:rPr>
                <w:rFonts w:hint="eastAsia" w:cs="Times New Roman"/>
                <w:bCs/>
                <w:color w:val="0000FF"/>
                <w:kern w:val="0"/>
                <w:sz w:val="24"/>
                <w:szCs w:val="24"/>
                <w:lang w:val="en-US" w:eastAsia="zh-CN"/>
              </w:rPr>
              <w:t>12.638</w:t>
            </w:r>
            <w:r>
              <w:rPr>
                <w:rFonts w:hint="default" w:ascii="Times New Roman" w:hAnsi="Times New Roman" w:eastAsia="宋体" w:cs="Times New Roman"/>
                <w:bCs/>
                <w:color w:val="0000FF"/>
                <w:kern w:val="0"/>
                <w:sz w:val="24"/>
                <w:szCs w:val="24"/>
              </w:rPr>
              <w:t>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00"/>
                <w:kern w:val="0"/>
                <w:sz w:val="24"/>
                <w:szCs w:val="24"/>
                <w:lang w:val="en-US" w:eastAsia="zh-CN"/>
              </w:rPr>
            </w:pPr>
            <w:r>
              <w:rPr>
                <w:rFonts w:hint="eastAsia" w:ascii="Times New Roman" w:hAnsi="Times New Roman" w:eastAsia="宋体" w:cs="Times New Roman"/>
                <w:bCs/>
                <w:color w:val="000000"/>
                <w:kern w:val="0"/>
                <w:sz w:val="24"/>
                <w:szCs w:val="24"/>
                <w:lang w:eastAsia="zh-CN"/>
              </w:rPr>
              <w:t>不合格品：根据业主提供资料，不合格品产生量约为产量的</w:t>
            </w:r>
            <w:r>
              <w:rPr>
                <w:rFonts w:hint="eastAsia" w:ascii="Times New Roman" w:hAnsi="Times New Roman" w:eastAsia="宋体" w:cs="Times New Roman"/>
                <w:bCs/>
                <w:color w:val="000000"/>
                <w:kern w:val="0"/>
                <w:sz w:val="24"/>
                <w:szCs w:val="24"/>
                <w:lang w:val="en-US" w:eastAsia="zh-CN"/>
              </w:rPr>
              <w:t>0.5%，则不合格品产生量为100t/a。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0000FF"/>
                <w:kern w:val="0"/>
                <w:sz w:val="24"/>
                <w:szCs w:val="24"/>
                <w:lang w:val="en-US" w:eastAsia="zh-CN"/>
              </w:rPr>
            </w:pPr>
            <w:r>
              <w:rPr>
                <w:rFonts w:hint="eastAsia" w:cs="Times New Roman"/>
                <w:bCs/>
                <w:color w:val="0000FF"/>
                <w:kern w:val="0"/>
                <w:sz w:val="24"/>
                <w:szCs w:val="24"/>
                <w:lang w:eastAsia="zh-CN"/>
              </w:rPr>
              <w:t>废滤网：</w:t>
            </w:r>
            <w:r>
              <w:rPr>
                <w:color w:val="0000FF"/>
                <w:sz w:val="24"/>
                <w:szCs w:val="22"/>
              </w:rPr>
              <w:t>熔融挤出过程中过滤网片需要</w:t>
            </w:r>
            <w:r>
              <w:rPr>
                <w:rFonts w:hint="eastAsia"/>
                <w:color w:val="0000FF"/>
                <w:sz w:val="24"/>
                <w:szCs w:val="22"/>
                <w:lang w:val="en-US" w:eastAsia="zh-CN"/>
              </w:rPr>
              <w:t>3</w:t>
            </w:r>
            <w:r>
              <w:rPr>
                <w:color w:val="0000FF"/>
                <w:sz w:val="24"/>
                <w:szCs w:val="22"/>
              </w:rPr>
              <w:t>0min更换一次，每次更换网片2片（网片0.05kg/片）</w:t>
            </w:r>
            <w:r>
              <w:rPr>
                <w:rFonts w:hint="eastAsia" w:cs="Times New Roman"/>
                <w:bCs/>
                <w:color w:val="0000FF"/>
                <w:kern w:val="0"/>
                <w:sz w:val="24"/>
                <w:szCs w:val="24"/>
                <w:lang w:eastAsia="zh-CN"/>
              </w:rPr>
              <w:t>，则废滤网产生量约为</w:t>
            </w:r>
            <w:r>
              <w:rPr>
                <w:rFonts w:hint="eastAsia" w:cs="Times New Roman"/>
                <w:bCs/>
                <w:color w:val="0000FF"/>
                <w:kern w:val="0"/>
                <w:sz w:val="24"/>
                <w:szCs w:val="24"/>
                <w:lang w:val="en-US" w:eastAsia="zh-CN"/>
              </w:rPr>
              <w:t>0.48t/a。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bCs/>
                <w:color w:val="0000FF"/>
                <w:kern w:val="0"/>
                <w:sz w:val="24"/>
                <w:szCs w:val="24"/>
                <w:lang w:eastAsia="zh-CN"/>
              </w:rPr>
            </w:pPr>
            <w:r>
              <w:rPr>
                <w:rFonts w:hint="eastAsia" w:cs="Times New Roman"/>
                <w:bCs/>
                <w:color w:val="0000FF"/>
                <w:kern w:val="0"/>
                <w:sz w:val="24"/>
                <w:szCs w:val="24"/>
                <w:lang w:eastAsia="zh-CN"/>
              </w:rPr>
              <w:t>废矿物油：来源于设备保养更换下来的废油，根据建设单位提供信息，年产生量约为</w:t>
            </w:r>
            <w:r>
              <w:rPr>
                <w:rFonts w:hint="eastAsia" w:cs="Times New Roman"/>
                <w:bCs/>
                <w:color w:val="0000FF"/>
                <w:kern w:val="0"/>
                <w:sz w:val="24"/>
                <w:szCs w:val="24"/>
                <w:lang w:val="en-US" w:eastAsia="zh-CN"/>
              </w:rPr>
              <w:t>0.2</w:t>
            </w:r>
            <w:r>
              <w:rPr>
                <w:rFonts w:hint="eastAsia" w:cs="Times New Roman"/>
                <w:bCs/>
                <w:color w:val="0000FF"/>
                <w:kern w:val="0"/>
                <w:sz w:val="24"/>
                <w:szCs w:val="24"/>
                <w:lang w:eastAsia="zh-CN"/>
              </w:rPr>
              <w:t>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bCs/>
                <w:color w:val="000000"/>
                <w:kern w:val="0"/>
                <w:sz w:val="24"/>
                <w:szCs w:val="24"/>
                <w:lang w:eastAsia="zh-CN"/>
              </w:rPr>
              <w:t>生活垃圾：</w:t>
            </w:r>
            <w:r>
              <w:rPr>
                <w:rFonts w:hint="default" w:ascii="Times New Roman" w:hAnsi="Times New Roman" w:eastAsia="宋体" w:cs="Times New Roman"/>
                <w:color w:val="000000"/>
                <w:sz w:val="24"/>
                <w:szCs w:val="24"/>
                <w:lang w:val="en-US" w:eastAsia="zh-CN"/>
              </w:rPr>
              <w:t>生活垃圾产生量按人均每天产生量1kg计，本项目员工</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0人，则每天生活垃圾产生量约为0.0</w:t>
            </w:r>
            <w:r>
              <w:rPr>
                <w:rFonts w:hint="eastAsia" w:ascii="Times New Roman" w:hAnsi="Times New Roman" w:eastAsia="宋体" w:cs="Times New Roman"/>
                <w:color w:val="000000"/>
                <w:sz w:val="24"/>
                <w:szCs w:val="24"/>
                <w:lang w:val="en-US" w:eastAsia="zh-CN"/>
              </w:rPr>
              <w:t>5</w:t>
            </w:r>
            <w:r>
              <w:rPr>
                <w:rFonts w:hint="default" w:ascii="Times New Roman" w:hAnsi="Times New Roman" w:eastAsia="宋体" w:cs="Times New Roman"/>
                <w:color w:val="000000"/>
                <w:sz w:val="24"/>
                <w:szCs w:val="24"/>
                <w:lang w:val="en-US" w:eastAsia="zh-CN"/>
              </w:rPr>
              <w:t>t，年工作时间为3</w:t>
            </w:r>
            <w:r>
              <w:rPr>
                <w:rFonts w:hint="eastAsia" w:ascii="Times New Roman" w:hAnsi="Times New Roman" w:eastAsia="宋体" w:cs="Times New Roman"/>
                <w:color w:val="000000"/>
                <w:sz w:val="24"/>
                <w:szCs w:val="24"/>
                <w:lang w:val="en-US" w:eastAsia="zh-CN"/>
              </w:rPr>
              <w:t>0</w:t>
            </w:r>
            <w:r>
              <w:rPr>
                <w:rFonts w:hint="default" w:ascii="Times New Roman" w:hAnsi="Times New Roman" w:eastAsia="宋体" w:cs="Times New Roman"/>
                <w:color w:val="000000"/>
                <w:sz w:val="24"/>
                <w:szCs w:val="24"/>
                <w:lang w:val="en-US" w:eastAsia="zh-CN"/>
              </w:rPr>
              <w:t>0天，则生活垃圾产生量为</w:t>
            </w:r>
            <w:r>
              <w:rPr>
                <w:rFonts w:hint="eastAsia" w:ascii="Times New Roman" w:hAnsi="Times New Roman" w:eastAsia="宋体" w:cs="Times New Roman"/>
                <w:color w:val="000000"/>
                <w:sz w:val="24"/>
                <w:szCs w:val="24"/>
                <w:lang w:val="en-US" w:eastAsia="zh-CN"/>
              </w:rPr>
              <w:t>15</w:t>
            </w:r>
            <w:r>
              <w:rPr>
                <w:rFonts w:hint="default" w:ascii="Times New Roman" w:hAnsi="Times New Roman" w:eastAsia="宋体" w:cs="Times New Roman"/>
                <w:color w:val="000000"/>
                <w:sz w:val="24"/>
                <w:szCs w:val="24"/>
                <w:lang w:val="en-US" w:eastAsia="zh-CN"/>
              </w:rPr>
              <w:t>t/a。</w:t>
            </w:r>
          </w:p>
          <w:p>
            <w:pPr>
              <w:widowControl/>
              <w:adjustRightInd w:val="0"/>
              <w:snapToGrid w:val="0"/>
              <w:spacing w:line="240" w:lineRule="auto"/>
              <w:ind w:firstLine="0" w:firstLineChars="0"/>
              <w:jc w:val="center"/>
              <w:rPr>
                <w:rFonts w:hint="eastAsia" w:cs="Times New Roman"/>
                <w:b/>
                <w:bCs/>
                <w:color w:val="000000" w:themeColor="text1"/>
                <w:kern w:val="0"/>
                <w:sz w:val="21"/>
                <w:szCs w:val="21"/>
                <w:lang w:val="en-US" w:eastAsia="zh-CN"/>
                <w14:textFill>
                  <w14:solidFill>
                    <w14:schemeClr w14:val="tx1"/>
                  </w14:solidFill>
                </w14:textFill>
              </w:rPr>
            </w:pPr>
            <w:r>
              <w:rPr>
                <w:rFonts w:hint="eastAsia" w:cs="Times New Roman"/>
                <w:b/>
                <w:bCs/>
                <w:color w:val="000000" w:themeColor="text1"/>
                <w:kern w:val="0"/>
                <w:sz w:val="21"/>
                <w:szCs w:val="21"/>
                <w:lang w:eastAsia="zh-CN"/>
                <w14:textFill>
                  <w14:solidFill>
                    <w14:schemeClr w14:val="tx1"/>
                  </w14:solidFill>
                </w14:textFill>
              </w:rPr>
              <w:t>表</w:t>
            </w:r>
            <w:r>
              <w:rPr>
                <w:rFonts w:hint="eastAsia" w:cs="Times New Roman"/>
                <w:b/>
                <w:bCs/>
                <w:color w:val="000000" w:themeColor="text1"/>
                <w:kern w:val="0"/>
                <w:sz w:val="21"/>
                <w:szCs w:val="21"/>
                <w:lang w:val="en-US" w:eastAsia="zh-CN"/>
                <w14:textFill>
                  <w14:solidFill>
                    <w14:schemeClr w14:val="tx1"/>
                  </w14:solidFill>
                </w14:textFill>
              </w:rPr>
              <w:t>4-11  项目一般固废汇总表</w:t>
            </w:r>
          </w:p>
          <w:tbl>
            <w:tblPr>
              <w:tblStyle w:val="20"/>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589"/>
              <w:gridCol w:w="1079"/>
              <w:gridCol w:w="1851"/>
              <w:gridCol w:w="1411"/>
              <w:gridCol w:w="776"/>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3"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序号</w:t>
                  </w:r>
                </w:p>
              </w:tc>
              <w:tc>
                <w:tcPr>
                  <w:tcW w:w="838"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名称</w:t>
                  </w:r>
                </w:p>
              </w:tc>
              <w:tc>
                <w:tcPr>
                  <w:tcW w:w="569"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类别</w:t>
                  </w:r>
                </w:p>
              </w:tc>
              <w:tc>
                <w:tcPr>
                  <w:tcW w:w="976"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代码</w:t>
                  </w:r>
                </w:p>
              </w:tc>
              <w:tc>
                <w:tcPr>
                  <w:tcW w:w="744"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产生量</w:t>
                  </w:r>
                  <w:r>
                    <w:rPr>
                      <w:rFonts w:hint="eastAsia" w:cs="Times New Roman"/>
                      <w:bCs/>
                      <w:color w:val="000000" w:themeColor="text1"/>
                      <w:sz w:val="21"/>
                      <w:szCs w:val="21"/>
                      <w:lang w:eastAsia="zh-CN"/>
                      <w14:textFill>
                        <w14:solidFill>
                          <w14:schemeClr w14:val="tx1"/>
                        </w14:solidFill>
                      </w14:textFill>
                    </w:rPr>
                    <w:t>（</w:t>
                  </w:r>
                  <w:r>
                    <w:rPr>
                      <w:rFonts w:hint="eastAsia" w:cs="Times New Roman"/>
                      <w:bCs/>
                      <w:color w:val="000000" w:themeColor="text1"/>
                      <w:sz w:val="21"/>
                      <w:szCs w:val="21"/>
                      <w:lang w:val="en-US" w:eastAsia="zh-CN"/>
                      <w14:textFill>
                        <w14:solidFill>
                          <w14:schemeClr w14:val="tx1"/>
                        </w14:solidFill>
                      </w14:textFill>
                    </w:rPr>
                    <w:t>t/a</w:t>
                  </w:r>
                  <w:r>
                    <w:rPr>
                      <w:rFonts w:hint="eastAsia" w:cs="Times New Roman"/>
                      <w:bCs/>
                      <w:color w:val="000000" w:themeColor="text1"/>
                      <w:sz w:val="21"/>
                      <w:szCs w:val="21"/>
                      <w:lang w:eastAsia="zh-CN"/>
                      <w14:textFill>
                        <w14:solidFill>
                          <w14:schemeClr w14:val="tx1"/>
                        </w14:solidFill>
                      </w14:textFill>
                    </w:rPr>
                    <w:t>）</w:t>
                  </w:r>
                </w:p>
              </w:tc>
              <w:tc>
                <w:tcPr>
                  <w:tcW w:w="409"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形态</w:t>
                  </w:r>
                </w:p>
              </w:tc>
              <w:tc>
                <w:tcPr>
                  <w:tcW w:w="1176"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eastAsia" w:ascii="Times New Roman" w:hAnsi="Times New Roman" w:eastAsia="宋体" w:cs="Times New Roman"/>
                      <w:bCs/>
                      <w:color w:val="000000" w:themeColor="text1"/>
                      <w:sz w:val="21"/>
                      <w:szCs w:val="21"/>
                      <w:lang w:eastAsia="zh-CN"/>
                      <w14:textFill>
                        <w14:solidFill>
                          <w14:schemeClr w14:val="tx1"/>
                        </w14:solidFill>
                      </w14:textFill>
                    </w:rPr>
                  </w:pPr>
                  <w:r>
                    <w:rPr>
                      <w:rFonts w:hint="eastAsia" w:cs="Times New Roman"/>
                      <w:bCs/>
                      <w:color w:val="000000" w:themeColor="text1"/>
                      <w:sz w:val="21"/>
                      <w:szCs w:val="21"/>
                      <w:lang w:eastAsia="zh-CN"/>
                      <w14:textFill>
                        <w14:solidFill>
                          <w14:schemeClr w14:val="tx1"/>
                        </w14:solidFill>
                      </w14:textFill>
                    </w:rPr>
                    <w:t>贮存形式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3"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 w:val="0"/>
                      <w:color w:val="000000" w:themeColor="text1"/>
                      <w:sz w:val="21"/>
                      <w:szCs w:val="21"/>
                      <w14:textFill>
                        <w14:solidFill>
                          <w14:schemeClr w14:val="tx1"/>
                        </w14:solidFill>
                      </w14:textFill>
                    </w:rPr>
                  </w:pPr>
                  <w:r>
                    <w:rPr>
                      <w:rFonts w:hint="default" w:ascii="Times New Roman" w:hAnsi="Times New Roman" w:cs="Times New Roman"/>
                      <w:b w:val="0"/>
                      <w:color w:val="000000" w:themeColor="text1"/>
                      <w:sz w:val="21"/>
                      <w:szCs w:val="21"/>
                      <w14:textFill>
                        <w14:solidFill>
                          <w14:schemeClr w14:val="tx1"/>
                        </w14:solidFill>
                      </w14:textFill>
                    </w:rPr>
                    <w:t>1</w:t>
                  </w:r>
                </w:p>
              </w:tc>
              <w:tc>
                <w:tcPr>
                  <w:tcW w:w="838" w:type="pct"/>
                  <w:tcMar>
                    <w:left w:w="0" w:type="dxa"/>
                    <w:right w:w="0" w:type="dxa"/>
                  </w:tcMar>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不合格品</w:t>
                  </w:r>
                </w:p>
              </w:tc>
              <w:tc>
                <w:tcPr>
                  <w:tcW w:w="569" w:type="pct"/>
                  <w:tcMar>
                    <w:left w:w="0" w:type="dxa"/>
                    <w:right w:w="0" w:type="dxa"/>
                  </w:tcMar>
                  <w:vAlign w:val="center"/>
                </w:tcPr>
                <w:p>
                  <w:pPr>
                    <w:keepNext w:val="0"/>
                    <w:keepLines w:val="0"/>
                    <w:pageBreakBefore w:val="0"/>
                    <w:widowControl w:val="0"/>
                    <w:kinsoku/>
                    <w:wordWrap/>
                    <w:overflowPunct/>
                    <w:topLinePunct w:val="0"/>
                    <w:bidi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06</w:t>
                  </w:r>
                </w:p>
              </w:tc>
              <w:tc>
                <w:tcPr>
                  <w:tcW w:w="976"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292-001-06</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ascii="Times New Roman" w:hAnsi="Times New Roman" w:eastAsia="宋体"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100</w:t>
                  </w:r>
                </w:p>
              </w:tc>
              <w:tc>
                <w:tcPr>
                  <w:tcW w:w="409" w:type="pct"/>
                  <w:vMerge w:val="restar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b w:val="0"/>
                      <w:color w:val="000000" w:themeColor="text1"/>
                      <w:sz w:val="21"/>
                      <w:szCs w:val="21"/>
                      <w14:textFill>
                        <w14:solidFill>
                          <w14:schemeClr w14:val="tx1"/>
                        </w14:solidFill>
                      </w14:textFill>
                    </w:rPr>
                  </w:pPr>
                  <w:r>
                    <w:rPr>
                      <w:rFonts w:hint="default" w:ascii="Times New Roman" w:hAnsi="Times New Roman" w:cs="Times New Roman"/>
                      <w:b w:val="0"/>
                      <w:color w:val="000000" w:themeColor="text1"/>
                      <w:sz w:val="21"/>
                      <w:szCs w:val="21"/>
                      <w14:textFill>
                        <w14:solidFill>
                          <w14:schemeClr w14:val="tx1"/>
                        </w14:solidFill>
                      </w14:textFill>
                    </w:rPr>
                    <w:t>固态</w:t>
                  </w:r>
                </w:p>
              </w:tc>
              <w:tc>
                <w:tcPr>
                  <w:tcW w:w="1176"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3"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eastAsia="宋体" w:cs="Times New Roman"/>
                      <w:b w:val="0"/>
                      <w:color w:val="000000" w:themeColor="text1"/>
                      <w:sz w:val="21"/>
                      <w:szCs w:val="21"/>
                      <w:lang w:val="en-US" w:eastAsia="zh-CN"/>
                      <w14:textFill>
                        <w14:solidFill>
                          <w14:schemeClr w14:val="tx1"/>
                        </w14:solidFill>
                      </w14:textFill>
                    </w:rPr>
                  </w:pPr>
                  <w:r>
                    <w:rPr>
                      <w:rFonts w:hint="eastAsia" w:eastAsia="宋体" w:cs="Times New Roman"/>
                      <w:b w:val="0"/>
                      <w:color w:val="000000" w:themeColor="text1"/>
                      <w:sz w:val="21"/>
                      <w:szCs w:val="21"/>
                      <w:lang w:val="en-US" w:eastAsia="zh-CN"/>
                      <w14:textFill>
                        <w14:solidFill>
                          <w14:schemeClr w14:val="tx1"/>
                        </w14:solidFill>
                      </w14:textFill>
                    </w:rPr>
                    <w:t>2</w:t>
                  </w:r>
                </w:p>
              </w:tc>
              <w:tc>
                <w:tcPr>
                  <w:tcW w:w="838" w:type="pct"/>
                  <w:tcMar>
                    <w:left w:w="0" w:type="dxa"/>
                    <w:right w:w="0" w:type="dxa"/>
                  </w:tcMar>
                  <w:vAlign w:val="center"/>
                </w:tcPr>
                <w:p>
                  <w:pPr>
                    <w:keepNext w:val="0"/>
                    <w:keepLines w:val="0"/>
                    <w:pageBreakBefore w:val="0"/>
                    <w:widowControl w:val="0"/>
                    <w:tabs>
                      <w:tab w:val="left" w:pos="1080"/>
                    </w:tabs>
                    <w:kinsoku/>
                    <w:wordWrap/>
                    <w:overflowPunct/>
                    <w:topLinePunct w:val="0"/>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除尘灰</w:t>
                  </w:r>
                </w:p>
              </w:tc>
              <w:tc>
                <w:tcPr>
                  <w:tcW w:w="569"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66</w:t>
                  </w:r>
                </w:p>
              </w:tc>
              <w:tc>
                <w:tcPr>
                  <w:tcW w:w="976"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900-999-66</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34.64</w:t>
                  </w:r>
                </w:p>
              </w:tc>
              <w:tc>
                <w:tcPr>
                  <w:tcW w:w="409" w:type="pct"/>
                  <w:vMerge w:val="continue"/>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color w:val="000000" w:themeColor="text1"/>
                      <w:sz w:val="21"/>
                      <w:szCs w:val="21"/>
                      <w14:textFill>
                        <w14:solidFill>
                          <w14:schemeClr w14:val="tx1"/>
                        </w14:solidFill>
                      </w14:textFill>
                    </w:rPr>
                  </w:pPr>
                </w:p>
              </w:tc>
              <w:tc>
                <w:tcPr>
                  <w:tcW w:w="1176" w:type="pct"/>
                  <w:tcMar>
                    <w:left w:w="0" w:type="dxa"/>
                    <w:right w:w="0" w:type="dxa"/>
                  </w:tcMar>
                  <w:vAlign w:val="center"/>
                </w:tcPr>
                <w:p>
                  <w:pPr>
                    <w:pStyle w:val="59"/>
                    <w:keepNext w:val="0"/>
                    <w:keepLines w:val="0"/>
                    <w:pageBreakBefore w:val="0"/>
                    <w:widowControl w:val="0"/>
                    <w:kinsoku/>
                    <w:wordWrap/>
                    <w:overflowPunct/>
                    <w:topLinePunct w:val="0"/>
                    <w:bidi w:val="0"/>
                    <w:spacing w:line="240" w:lineRule="auto"/>
                    <w:ind w:firstLine="0" w:firstLineChars="0"/>
                    <w:textAlignment w:val="auto"/>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3"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3</w:t>
                  </w:r>
                </w:p>
              </w:tc>
              <w:tc>
                <w:tcPr>
                  <w:tcW w:w="838" w:type="pct"/>
                  <w:tcMar>
                    <w:left w:w="0" w:type="dxa"/>
                    <w:right w:w="0" w:type="dxa"/>
                  </w:tcMar>
                  <w:vAlign w:val="center"/>
                </w:tcPr>
                <w:p>
                  <w:pPr>
                    <w:keepNext w:val="0"/>
                    <w:keepLines w:val="0"/>
                    <w:pageBreakBefore w:val="0"/>
                    <w:widowControl w:val="0"/>
                    <w:tabs>
                      <w:tab w:val="left" w:pos="1080"/>
                    </w:tabs>
                    <w:kinsoku/>
                    <w:wordWrap/>
                    <w:overflowPunct/>
                    <w:topLinePunct w:val="0"/>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废布袋</w:t>
                  </w:r>
                </w:p>
              </w:tc>
              <w:tc>
                <w:tcPr>
                  <w:tcW w:w="569"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99</w:t>
                  </w:r>
                </w:p>
              </w:tc>
              <w:tc>
                <w:tcPr>
                  <w:tcW w:w="976"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900-999-99</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0.2</w:t>
                  </w:r>
                </w:p>
              </w:tc>
              <w:tc>
                <w:tcPr>
                  <w:tcW w:w="409" w:type="pct"/>
                  <w:vMerge w:val="continue"/>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color w:val="000000" w:themeColor="text1"/>
                      <w:sz w:val="21"/>
                      <w:szCs w:val="21"/>
                      <w14:textFill>
                        <w14:solidFill>
                          <w14:schemeClr w14:val="tx1"/>
                        </w14:solidFill>
                      </w14:textFill>
                    </w:rPr>
                  </w:pPr>
                </w:p>
              </w:tc>
              <w:tc>
                <w:tcPr>
                  <w:tcW w:w="1176" w:type="pct"/>
                  <w:tcMar>
                    <w:left w:w="0" w:type="dxa"/>
                    <w:right w:w="0" w:type="dxa"/>
                  </w:tcMar>
                  <w:vAlign w:val="center"/>
                </w:tcPr>
                <w:p>
                  <w:pPr>
                    <w:pStyle w:val="59"/>
                    <w:keepNext w:val="0"/>
                    <w:keepLines w:val="0"/>
                    <w:pageBreakBefore w:val="0"/>
                    <w:widowControl w:val="0"/>
                    <w:kinsoku/>
                    <w:wordWrap/>
                    <w:overflowPunct/>
                    <w:topLinePunct w:val="0"/>
                    <w:bidi w:val="0"/>
                    <w:spacing w:line="240" w:lineRule="auto"/>
                    <w:ind w:firstLine="0" w:firstLineChars="0"/>
                    <w:textAlignment w:val="auto"/>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83" w:type="pct"/>
                  <w:tcMar>
                    <w:left w:w="0" w:type="dxa"/>
                    <w:right w:w="0" w:type="dxa"/>
                  </w:tcMar>
                  <w:vAlign w:val="center"/>
                </w:tcPr>
                <w:p>
                  <w:pPr>
                    <w:pStyle w:val="58"/>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4</w:t>
                  </w:r>
                </w:p>
              </w:tc>
              <w:tc>
                <w:tcPr>
                  <w:tcW w:w="838" w:type="pct"/>
                  <w:tcMar>
                    <w:left w:w="0" w:type="dxa"/>
                    <w:right w:w="0" w:type="dxa"/>
                  </w:tcMar>
                  <w:vAlign w:val="center"/>
                </w:tcPr>
                <w:p>
                  <w:pPr>
                    <w:keepNext w:val="0"/>
                    <w:keepLines w:val="0"/>
                    <w:pageBreakBefore w:val="0"/>
                    <w:widowControl w:val="0"/>
                    <w:tabs>
                      <w:tab w:val="left" w:pos="1080"/>
                    </w:tabs>
                    <w:kinsoku/>
                    <w:wordWrap/>
                    <w:overflowPunct/>
                    <w:topLinePunct w:val="0"/>
                    <w:bidi w:val="0"/>
                    <w:adjustRightInd w:val="0"/>
                    <w:snapToGrid w:val="0"/>
                    <w:spacing w:line="240" w:lineRule="auto"/>
                    <w:ind w:firstLine="0" w:firstLineChars="0"/>
                    <w:jc w:val="center"/>
                    <w:textAlignment w:val="auto"/>
                    <w:rPr>
                      <w:rFonts w:hint="eastAsia"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废滤网</w:t>
                  </w:r>
                </w:p>
              </w:tc>
              <w:tc>
                <w:tcPr>
                  <w:tcW w:w="569"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99</w:t>
                  </w:r>
                </w:p>
              </w:tc>
              <w:tc>
                <w:tcPr>
                  <w:tcW w:w="976" w:type="pct"/>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eastAsia" w:cs="Times New Roman"/>
                      <w:b w:val="0"/>
                      <w:color w:val="000000" w:themeColor="text1"/>
                      <w:sz w:val="21"/>
                      <w:szCs w:val="21"/>
                      <w:lang w:val="en-US" w:eastAsia="zh-CN"/>
                      <w14:textFill>
                        <w14:solidFill>
                          <w14:schemeClr w14:val="tx1"/>
                        </w14:solidFill>
                      </w14:textFill>
                    </w:rPr>
                  </w:pPr>
                  <w:r>
                    <w:rPr>
                      <w:rFonts w:hint="eastAsia" w:cs="Times New Roman"/>
                      <w:b w:val="0"/>
                      <w:color w:val="000000" w:themeColor="text1"/>
                      <w:sz w:val="21"/>
                      <w:szCs w:val="21"/>
                      <w:lang w:val="en-US" w:eastAsia="zh-CN"/>
                      <w14:textFill>
                        <w14:solidFill>
                          <w14:schemeClr w14:val="tx1"/>
                        </w14:solidFill>
                      </w14:textFill>
                    </w:rPr>
                    <w:t>900-999-99</w:t>
                  </w:r>
                </w:p>
              </w:tc>
              <w:tc>
                <w:tcPr>
                  <w:tcW w:w="744" w:type="pct"/>
                  <w:tcMar>
                    <w:left w:w="0" w:type="dxa"/>
                    <w:right w:w="0" w:type="dxa"/>
                  </w:tcMar>
                  <w:vAlign w:val="center"/>
                </w:tcPr>
                <w:p>
                  <w:pPr>
                    <w:widowControl/>
                    <w:adjustRightInd w:val="0"/>
                    <w:snapToGrid w:val="0"/>
                    <w:spacing w:line="240" w:lineRule="auto"/>
                    <w:ind w:firstLine="0" w:firstLineChars="0"/>
                    <w:jc w:val="center"/>
                    <w:rPr>
                      <w:rFonts w:hint="default" w:cs="Times New Roman"/>
                      <w:color w:val="000000" w:themeColor="text1"/>
                      <w:kern w:val="0"/>
                      <w:sz w:val="21"/>
                      <w:szCs w:val="21"/>
                      <w:lang w:val="en-US" w:eastAsia="zh-CN" w:bidi="ar-SA"/>
                      <w14:textFill>
                        <w14:solidFill>
                          <w14:schemeClr w14:val="tx1"/>
                        </w14:solidFill>
                      </w14:textFill>
                    </w:rPr>
                  </w:pPr>
                  <w:r>
                    <w:rPr>
                      <w:rFonts w:hint="eastAsia" w:cs="Times New Roman"/>
                      <w:color w:val="000000" w:themeColor="text1"/>
                      <w:kern w:val="0"/>
                      <w:sz w:val="21"/>
                      <w:szCs w:val="21"/>
                      <w:lang w:val="en-US" w:eastAsia="zh-CN" w:bidi="ar-SA"/>
                      <w14:textFill>
                        <w14:solidFill>
                          <w14:schemeClr w14:val="tx1"/>
                        </w14:solidFill>
                      </w14:textFill>
                    </w:rPr>
                    <w:t>0.48</w:t>
                  </w:r>
                </w:p>
              </w:tc>
              <w:tc>
                <w:tcPr>
                  <w:tcW w:w="409" w:type="pct"/>
                  <w:vMerge w:val="continue"/>
                  <w:tcMar>
                    <w:left w:w="0" w:type="dxa"/>
                    <w:right w:w="0" w:type="dxa"/>
                  </w:tcMar>
                  <w:vAlign w:val="center"/>
                </w:tcPr>
                <w:p>
                  <w:pPr>
                    <w:pStyle w:val="59"/>
                    <w:keepNext w:val="0"/>
                    <w:keepLines w:val="0"/>
                    <w:pageBreakBefore w:val="0"/>
                    <w:widowControl w:val="0"/>
                    <w:kinsoku/>
                    <w:wordWrap/>
                    <w:overflowPunct/>
                    <w:topLinePunct w:val="0"/>
                    <w:bidi w:val="0"/>
                    <w:adjustRightInd/>
                    <w:spacing w:line="240" w:lineRule="auto"/>
                    <w:ind w:firstLine="0" w:firstLineChars="0"/>
                    <w:textAlignment w:val="auto"/>
                    <w:rPr>
                      <w:rFonts w:hint="default" w:ascii="Times New Roman" w:hAnsi="Times New Roman" w:cs="Times New Roman"/>
                      <w:color w:val="000000" w:themeColor="text1"/>
                      <w:sz w:val="21"/>
                      <w:szCs w:val="21"/>
                      <w14:textFill>
                        <w14:solidFill>
                          <w14:schemeClr w14:val="tx1"/>
                        </w14:solidFill>
                      </w14:textFill>
                    </w:rPr>
                  </w:pPr>
                </w:p>
              </w:tc>
              <w:tc>
                <w:tcPr>
                  <w:tcW w:w="1176" w:type="pct"/>
                  <w:tcMar>
                    <w:left w:w="0" w:type="dxa"/>
                    <w:right w:w="0" w:type="dxa"/>
                  </w:tcMar>
                  <w:vAlign w:val="center"/>
                </w:tcPr>
                <w:p>
                  <w:pPr>
                    <w:pStyle w:val="59"/>
                    <w:keepNext w:val="0"/>
                    <w:keepLines w:val="0"/>
                    <w:pageBreakBefore w:val="0"/>
                    <w:widowControl w:val="0"/>
                    <w:kinsoku/>
                    <w:wordWrap/>
                    <w:overflowPunct/>
                    <w:topLinePunct w:val="0"/>
                    <w:bidi w:val="0"/>
                    <w:spacing w:line="240" w:lineRule="auto"/>
                    <w:ind w:firstLine="0" w:firstLineChars="0"/>
                    <w:textAlignment w:val="auto"/>
                    <w:rPr>
                      <w:rFonts w:hint="eastAsia"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eastAsia="zh-CN"/>
                      <w14:textFill>
                        <w14:solidFill>
                          <w14:schemeClr w14:val="tx1"/>
                        </w14:solidFill>
                      </w14:textFill>
                    </w:rPr>
                    <w:t>袋装</w:t>
                  </w:r>
                </w:p>
              </w:tc>
            </w:tr>
          </w:tbl>
          <w:p>
            <w:pPr>
              <w:widowControl/>
              <w:adjustRightInd w:val="0"/>
              <w:snapToGrid w:val="0"/>
              <w:spacing w:line="240" w:lineRule="auto"/>
              <w:ind w:firstLine="0" w:firstLineChars="0"/>
              <w:jc w:val="center"/>
              <w:rPr>
                <w:rFonts w:hint="default" w:eastAsia="宋体" w:cs="Times New Roman"/>
                <w:b/>
                <w:bCs/>
                <w:color w:val="000000" w:themeColor="text1"/>
                <w:kern w:val="0"/>
                <w:sz w:val="21"/>
                <w:szCs w:val="21"/>
                <w:lang w:val="en-US" w:eastAsia="zh-CN"/>
                <w14:textFill>
                  <w14:solidFill>
                    <w14:schemeClr w14:val="tx1"/>
                  </w14:solidFill>
                </w14:textFill>
              </w:rPr>
            </w:pPr>
            <w:r>
              <w:rPr>
                <w:rFonts w:hint="eastAsia" w:eastAsia="宋体" w:cs="Times New Roman"/>
                <w:b/>
                <w:bCs/>
                <w:color w:val="000000" w:themeColor="text1"/>
                <w:kern w:val="0"/>
                <w:sz w:val="21"/>
                <w:szCs w:val="21"/>
                <w:lang w:eastAsia="zh-CN"/>
                <w14:textFill>
                  <w14:solidFill>
                    <w14:schemeClr w14:val="tx1"/>
                  </w14:solidFill>
                </w14:textFill>
              </w:rPr>
              <w:t>表</w:t>
            </w:r>
            <w:r>
              <w:rPr>
                <w:rFonts w:hint="eastAsia" w:eastAsia="宋体" w:cs="Times New Roman"/>
                <w:b/>
                <w:bCs/>
                <w:color w:val="000000" w:themeColor="text1"/>
                <w:kern w:val="0"/>
                <w:sz w:val="21"/>
                <w:szCs w:val="21"/>
                <w:lang w:val="en-US" w:eastAsia="zh-CN"/>
                <w14:textFill>
                  <w14:solidFill>
                    <w14:schemeClr w14:val="tx1"/>
                  </w14:solidFill>
                </w14:textFill>
              </w:rPr>
              <w:t>4-1</w:t>
            </w:r>
            <w:r>
              <w:rPr>
                <w:rFonts w:hint="eastAsia" w:cs="Times New Roman"/>
                <w:b/>
                <w:bCs/>
                <w:color w:val="000000" w:themeColor="text1"/>
                <w:kern w:val="0"/>
                <w:sz w:val="21"/>
                <w:szCs w:val="21"/>
                <w:lang w:val="en-US" w:eastAsia="zh-CN"/>
                <w14:textFill>
                  <w14:solidFill>
                    <w14:schemeClr w14:val="tx1"/>
                  </w14:solidFill>
                </w14:textFill>
              </w:rPr>
              <w:t>2</w:t>
            </w:r>
            <w:r>
              <w:rPr>
                <w:rFonts w:hint="eastAsia" w:eastAsia="宋体" w:cs="Times New Roman"/>
                <w:b/>
                <w:bCs/>
                <w:color w:val="000000" w:themeColor="text1"/>
                <w:kern w:val="0"/>
                <w:sz w:val="21"/>
                <w:szCs w:val="21"/>
                <w:lang w:val="en-US" w:eastAsia="zh-CN"/>
                <w14:textFill>
                  <w14:solidFill>
                    <w14:schemeClr w14:val="tx1"/>
                  </w14:solidFill>
                </w14:textFill>
              </w:rPr>
              <w:t xml:space="preserve">  项目危险废物汇总表</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
              <w:gridCol w:w="959"/>
              <w:gridCol w:w="651"/>
              <w:gridCol w:w="1122"/>
              <w:gridCol w:w="797"/>
              <w:gridCol w:w="877"/>
              <w:gridCol w:w="427"/>
              <w:gridCol w:w="680"/>
              <w:gridCol w:w="722"/>
              <w:gridCol w:w="644"/>
              <w:gridCol w:w="572"/>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6"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序号</w:t>
                  </w:r>
                </w:p>
              </w:tc>
              <w:tc>
                <w:tcPr>
                  <w:tcW w:w="505"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危险废</w:t>
                  </w:r>
                </w:p>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物名称</w:t>
                  </w:r>
                </w:p>
              </w:tc>
              <w:tc>
                <w:tcPr>
                  <w:tcW w:w="343"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危险废物类别</w:t>
                  </w:r>
                </w:p>
              </w:tc>
              <w:tc>
                <w:tcPr>
                  <w:tcW w:w="591"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危险废</w:t>
                  </w:r>
                </w:p>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物代码</w:t>
                  </w:r>
                </w:p>
              </w:tc>
              <w:tc>
                <w:tcPr>
                  <w:tcW w:w="420"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产生</w:t>
                  </w:r>
                </w:p>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量</w:t>
                  </w:r>
                </w:p>
              </w:tc>
              <w:tc>
                <w:tcPr>
                  <w:tcW w:w="462"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产生工序</w:t>
                  </w:r>
                </w:p>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及装置</w:t>
                  </w:r>
                </w:p>
              </w:tc>
              <w:tc>
                <w:tcPr>
                  <w:tcW w:w="225"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形态</w:t>
                  </w:r>
                </w:p>
              </w:tc>
              <w:tc>
                <w:tcPr>
                  <w:tcW w:w="358"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主要</w:t>
                  </w:r>
                </w:p>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成分</w:t>
                  </w:r>
                </w:p>
              </w:tc>
              <w:tc>
                <w:tcPr>
                  <w:tcW w:w="380"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有害</w:t>
                  </w:r>
                </w:p>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成分</w:t>
                  </w:r>
                </w:p>
              </w:tc>
              <w:tc>
                <w:tcPr>
                  <w:tcW w:w="339"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产废</w:t>
                  </w:r>
                </w:p>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周期</w:t>
                  </w:r>
                </w:p>
              </w:tc>
              <w:tc>
                <w:tcPr>
                  <w:tcW w:w="301"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危险</w:t>
                  </w:r>
                </w:p>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特性</w:t>
                  </w:r>
                </w:p>
              </w:tc>
              <w:tc>
                <w:tcPr>
                  <w:tcW w:w="905" w:type="pct"/>
                  <w:noWrap w:val="0"/>
                  <w:tcMar>
                    <w:left w:w="0" w:type="dxa"/>
                    <w:right w:w="0" w:type="dxa"/>
                  </w:tcMar>
                  <w:vAlign w:val="center"/>
                </w:tcPr>
                <w:p>
                  <w:pPr>
                    <w:pStyle w:val="58"/>
                    <w:adjustRightInd/>
                    <w:spacing w:line="240" w:lineRule="auto"/>
                    <w:ind w:firstLine="0" w:firstLineChars="0"/>
                    <w:rPr>
                      <w:rFonts w:hint="default" w:ascii="Times New Roman" w:hAnsi="Times New Roman" w:cs="Times New Roman"/>
                      <w:b w:val="0"/>
                      <w:sz w:val="21"/>
                      <w:szCs w:val="21"/>
                    </w:rPr>
                  </w:pPr>
                  <w:r>
                    <w:rPr>
                      <w:rFonts w:hint="default" w:ascii="Times New Roman" w:hAnsi="Times New Roman" w:cs="Times New Roman"/>
                      <w:b w:val="0"/>
                      <w:sz w:val="21"/>
                      <w:szCs w:val="21"/>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6" w:type="pct"/>
                  <w:noWrap w:val="0"/>
                  <w:tcMar>
                    <w:left w:w="0" w:type="dxa"/>
                    <w:right w:w="0" w:type="dxa"/>
                  </w:tcMar>
                  <w:vAlign w:val="center"/>
                </w:tcPr>
                <w:p>
                  <w:pPr>
                    <w:pStyle w:val="58"/>
                    <w:adjustRightInd/>
                    <w:spacing w:line="240" w:lineRule="auto"/>
                    <w:ind w:firstLine="0" w:firstLineChars="0"/>
                    <w:rPr>
                      <w:rFonts w:hint="eastAsia" w:ascii="Times New Roman" w:hAnsi="Times New Roman" w:eastAsia="宋体" w:cs="Times New Roman"/>
                      <w:b w:val="0"/>
                      <w:sz w:val="21"/>
                      <w:szCs w:val="21"/>
                      <w:lang w:val="en-US" w:eastAsia="zh-CN"/>
                    </w:rPr>
                  </w:pPr>
                  <w:r>
                    <w:rPr>
                      <w:rFonts w:hint="eastAsia" w:cs="Times New Roman"/>
                      <w:b w:val="0"/>
                      <w:sz w:val="21"/>
                      <w:szCs w:val="21"/>
                      <w:lang w:val="en-US" w:eastAsia="zh-CN"/>
                    </w:rPr>
                    <w:t>1</w:t>
                  </w:r>
                </w:p>
              </w:tc>
              <w:tc>
                <w:tcPr>
                  <w:tcW w:w="505" w:type="pct"/>
                  <w:noWrap w:val="0"/>
                  <w:tcMar>
                    <w:left w:w="0" w:type="dxa"/>
                    <w:right w:w="0" w:type="dxa"/>
                  </w:tcMar>
                  <w:vAlign w:val="center"/>
                </w:tcPr>
                <w:p>
                  <w:pPr>
                    <w:pStyle w:val="59"/>
                    <w:adjustRightInd/>
                    <w:spacing w:line="240" w:lineRule="auto"/>
                    <w:ind w:firstLine="0" w:firstLineChars="0"/>
                    <w:rPr>
                      <w:rFonts w:hint="default" w:ascii="Times New Roman" w:hAnsi="Times New Roman" w:cs="Times New Roman"/>
                      <w:sz w:val="21"/>
                      <w:szCs w:val="21"/>
                    </w:rPr>
                  </w:pPr>
                  <w:r>
                    <w:rPr>
                      <w:rFonts w:hint="default" w:ascii="Times New Roman" w:hAnsi="Times New Roman" w:cs="Times New Roman"/>
                      <w:sz w:val="21"/>
                      <w:szCs w:val="21"/>
                    </w:rPr>
                    <w:t>废活</w:t>
                  </w:r>
                </w:p>
                <w:p>
                  <w:pPr>
                    <w:pStyle w:val="59"/>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性炭</w:t>
                  </w:r>
                </w:p>
              </w:tc>
              <w:tc>
                <w:tcPr>
                  <w:tcW w:w="343"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HW49</w:t>
                  </w:r>
                </w:p>
              </w:tc>
              <w:tc>
                <w:tcPr>
                  <w:tcW w:w="591"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900-039-49</w:t>
                  </w:r>
                </w:p>
              </w:tc>
              <w:tc>
                <w:tcPr>
                  <w:tcW w:w="420" w:type="pct"/>
                  <w:noWrap w:val="0"/>
                  <w:tcMar>
                    <w:left w:w="0" w:type="dxa"/>
                    <w:right w:w="0" w:type="dxa"/>
                  </w:tcMar>
                  <w:vAlign w:val="center"/>
                </w:tcPr>
                <w:p>
                  <w:pPr>
                    <w:pStyle w:val="59"/>
                    <w:adjustRightInd/>
                    <w:spacing w:line="240" w:lineRule="auto"/>
                    <w:ind w:firstLine="0" w:firstLineChars="0"/>
                    <w:rPr>
                      <w:rFonts w:hint="eastAsia" w:cs="Times New Roman"/>
                      <w:sz w:val="21"/>
                      <w:szCs w:val="21"/>
                      <w:lang w:val="en-US" w:eastAsia="zh-CN"/>
                    </w:rPr>
                  </w:pPr>
                  <w:r>
                    <w:rPr>
                      <w:rFonts w:hint="eastAsia" w:cs="Times New Roman"/>
                      <w:sz w:val="21"/>
                      <w:szCs w:val="21"/>
                      <w:lang w:val="en-US" w:eastAsia="zh-CN"/>
                    </w:rPr>
                    <w:t>12.638</w:t>
                  </w:r>
                </w:p>
                <w:p>
                  <w:pPr>
                    <w:pStyle w:val="59"/>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eastAsia" w:ascii="Times New Roman" w:hAnsi="Times New Roman" w:cs="Times New Roman"/>
                      <w:sz w:val="21"/>
                      <w:szCs w:val="21"/>
                      <w:lang w:val="en-US" w:eastAsia="zh-CN"/>
                    </w:rPr>
                    <w:t>t/a</w:t>
                  </w:r>
                </w:p>
              </w:tc>
              <w:tc>
                <w:tcPr>
                  <w:tcW w:w="462"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cs="Times New Roman"/>
                      <w:kern w:val="0"/>
                      <w:sz w:val="21"/>
                      <w:szCs w:val="21"/>
                    </w:rPr>
                    <w:t>废气处理</w:t>
                  </w:r>
                </w:p>
              </w:tc>
              <w:tc>
                <w:tcPr>
                  <w:tcW w:w="225"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b w:val="0"/>
                      <w:color w:val="000000"/>
                      <w:sz w:val="21"/>
                      <w:szCs w:val="21"/>
                    </w:rPr>
                    <w:t>固态</w:t>
                  </w:r>
                </w:p>
              </w:tc>
              <w:tc>
                <w:tcPr>
                  <w:tcW w:w="358"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bCs/>
                      <w:sz w:val="21"/>
                      <w:szCs w:val="21"/>
                    </w:rPr>
                    <w:t>废活性炭</w:t>
                  </w:r>
                </w:p>
              </w:tc>
              <w:tc>
                <w:tcPr>
                  <w:tcW w:w="380"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有机废气</w:t>
                  </w:r>
                </w:p>
              </w:tc>
              <w:tc>
                <w:tcPr>
                  <w:tcW w:w="339"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1个月</w:t>
                  </w:r>
                </w:p>
              </w:tc>
              <w:tc>
                <w:tcPr>
                  <w:tcW w:w="301"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snapToGrid w:val="0"/>
                      <w:kern w:val="0"/>
                      <w:sz w:val="21"/>
                      <w:szCs w:val="21"/>
                      <w:lang w:val="en-US" w:eastAsia="zh-CN" w:bidi="ar-SA"/>
                    </w:rPr>
                  </w:pPr>
                  <w:r>
                    <w:rPr>
                      <w:rFonts w:hint="default" w:ascii="Times New Roman" w:hAnsi="Times New Roman" w:cs="Times New Roman"/>
                      <w:sz w:val="21"/>
                      <w:szCs w:val="21"/>
                    </w:rPr>
                    <w:t>T</w:t>
                  </w:r>
                </w:p>
              </w:tc>
              <w:tc>
                <w:tcPr>
                  <w:tcW w:w="905" w:type="pct"/>
                  <w:vMerge w:val="restart"/>
                  <w:noWrap w:val="0"/>
                  <w:tcMar>
                    <w:left w:w="0" w:type="dxa"/>
                    <w:right w:w="0" w:type="dxa"/>
                  </w:tcMar>
                  <w:vAlign w:val="center"/>
                </w:tcPr>
                <w:p>
                  <w:pPr>
                    <w:pStyle w:val="59"/>
                    <w:adjustRightInd/>
                    <w:spacing w:line="240" w:lineRule="auto"/>
                    <w:ind w:firstLine="0" w:firstLineChar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危险废物贮存于厂区危废暂存间内，并分类、分区堆放，做好防渗漏、防晒、防风措施；最终委托有危废处理资质的单位处置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6" w:type="pct"/>
                  <w:noWrap w:val="0"/>
                  <w:tcMar>
                    <w:left w:w="0" w:type="dxa"/>
                    <w:right w:w="0" w:type="dxa"/>
                  </w:tcMar>
                  <w:vAlign w:val="center"/>
                </w:tcPr>
                <w:p>
                  <w:pPr>
                    <w:pStyle w:val="58"/>
                    <w:adjustRightInd/>
                    <w:spacing w:line="240" w:lineRule="auto"/>
                    <w:ind w:firstLine="0" w:firstLineChars="0"/>
                    <w:rPr>
                      <w:rFonts w:hint="default" w:cs="Times New Roman"/>
                      <w:b w:val="0"/>
                      <w:sz w:val="21"/>
                      <w:szCs w:val="21"/>
                      <w:lang w:val="en-US" w:eastAsia="zh-CN"/>
                    </w:rPr>
                  </w:pPr>
                  <w:r>
                    <w:rPr>
                      <w:rFonts w:hint="eastAsia" w:cs="Times New Roman"/>
                      <w:b w:val="0"/>
                      <w:sz w:val="21"/>
                      <w:szCs w:val="21"/>
                      <w:lang w:val="en-US" w:eastAsia="zh-CN"/>
                    </w:rPr>
                    <w:t>2</w:t>
                  </w:r>
                </w:p>
              </w:tc>
              <w:tc>
                <w:tcPr>
                  <w:tcW w:w="505"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eastAsia="zh-CN"/>
                    </w:rPr>
                    <w:t>废</w:t>
                  </w:r>
                  <w:r>
                    <w:rPr>
                      <w:rFonts w:hint="eastAsia" w:cs="Times New Roman"/>
                      <w:sz w:val="21"/>
                      <w:szCs w:val="21"/>
                      <w:lang w:val="en-US" w:eastAsia="zh-CN"/>
                    </w:rPr>
                    <w:t>UV灯管</w:t>
                  </w:r>
                </w:p>
              </w:tc>
              <w:tc>
                <w:tcPr>
                  <w:tcW w:w="343"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HW29</w:t>
                  </w:r>
                </w:p>
              </w:tc>
              <w:tc>
                <w:tcPr>
                  <w:tcW w:w="591"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sz w:val="21"/>
                      <w:szCs w:val="21"/>
                      <w:lang w:val="en-US" w:eastAsia="zh-CN"/>
                    </w:rPr>
                  </w:pPr>
                  <w:r>
                    <w:rPr>
                      <w:rFonts w:hint="eastAsia" w:cs="Times New Roman"/>
                      <w:sz w:val="21"/>
                      <w:szCs w:val="21"/>
                      <w:lang w:val="en-US" w:eastAsia="zh-CN"/>
                    </w:rPr>
                    <w:t>900-023-29</w:t>
                  </w:r>
                </w:p>
              </w:tc>
              <w:tc>
                <w:tcPr>
                  <w:tcW w:w="420" w:type="pct"/>
                  <w:noWrap w:val="0"/>
                  <w:tcMar>
                    <w:left w:w="0" w:type="dxa"/>
                    <w:right w:w="0" w:type="dxa"/>
                  </w:tcMar>
                  <w:vAlign w:val="center"/>
                </w:tcPr>
                <w:p>
                  <w:pPr>
                    <w:pStyle w:val="59"/>
                    <w:adjustRightInd/>
                    <w:spacing w:line="240" w:lineRule="auto"/>
                    <w:ind w:firstLine="0" w:firstLineChars="0"/>
                    <w:rPr>
                      <w:rFonts w:hint="default" w:ascii="Times New Roman" w:hAnsi="Times New Roman" w:cs="Times New Roman"/>
                      <w:sz w:val="21"/>
                      <w:szCs w:val="21"/>
                      <w:lang w:val="en-US" w:eastAsia="zh-CN"/>
                    </w:rPr>
                  </w:pPr>
                  <w:r>
                    <w:rPr>
                      <w:rFonts w:hint="eastAsia" w:cs="Times New Roman"/>
                      <w:sz w:val="21"/>
                      <w:szCs w:val="21"/>
                      <w:lang w:val="en-US" w:eastAsia="zh-CN"/>
                    </w:rPr>
                    <w:t>0.05t/a</w:t>
                  </w:r>
                </w:p>
              </w:tc>
              <w:tc>
                <w:tcPr>
                  <w:tcW w:w="462"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废气处理</w:t>
                  </w:r>
                </w:p>
              </w:tc>
              <w:tc>
                <w:tcPr>
                  <w:tcW w:w="225" w:type="pct"/>
                  <w:noWrap w:val="0"/>
                  <w:tcMar>
                    <w:left w:w="0" w:type="dxa"/>
                    <w:right w:w="0" w:type="dxa"/>
                  </w:tcMar>
                  <w:vAlign w:val="center"/>
                </w:tcPr>
                <w:p>
                  <w:pPr>
                    <w:pStyle w:val="59"/>
                    <w:adjustRightInd/>
                    <w:spacing w:line="240" w:lineRule="auto"/>
                    <w:ind w:firstLine="0" w:firstLineChars="0"/>
                    <w:rPr>
                      <w:rFonts w:hint="default" w:ascii="Times New Roman" w:hAnsi="Times New Roman" w:eastAsia="宋体" w:cs="Times New Roman"/>
                      <w:b w:val="0"/>
                      <w:color w:val="000000"/>
                      <w:sz w:val="21"/>
                      <w:szCs w:val="21"/>
                      <w:lang w:val="en-US" w:eastAsia="zh-CN"/>
                    </w:rPr>
                  </w:pPr>
                  <w:r>
                    <w:rPr>
                      <w:rFonts w:hint="eastAsia" w:cs="Times New Roman"/>
                      <w:b w:val="0"/>
                      <w:color w:val="000000"/>
                      <w:sz w:val="21"/>
                      <w:szCs w:val="21"/>
                      <w:lang w:val="en-US" w:eastAsia="zh-CN"/>
                    </w:rPr>
                    <w:t>固态</w:t>
                  </w:r>
                </w:p>
              </w:tc>
              <w:tc>
                <w:tcPr>
                  <w:tcW w:w="358"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bCs/>
                      <w:sz w:val="21"/>
                      <w:szCs w:val="21"/>
                      <w:lang w:val="en-US" w:eastAsia="zh-CN"/>
                    </w:rPr>
                  </w:pPr>
                  <w:r>
                    <w:rPr>
                      <w:rFonts w:hint="eastAsia" w:cs="Times New Roman"/>
                      <w:bCs/>
                      <w:sz w:val="21"/>
                      <w:szCs w:val="21"/>
                      <w:lang w:eastAsia="zh-CN"/>
                    </w:rPr>
                    <w:t>废</w:t>
                  </w:r>
                  <w:r>
                    <w:rPr>
                      <w:rFonts w:hint="eastAsia" w:cs="Times New Roman"/>
                      <w:bCs/>
                      <w:sz w:val="21"/>
                      <w:szCs w:val="21"/>
                      <w:lang w:val="en-US" w:eastAsia="zh-CN"/>
                    </w:rPr>
                    <w:t>UV灯管</w:t>
                  </w:r>
                </w:p>
              </w:tc>
              <w:tc>
                <w:tcPr>
                  <w:tcW w:w="380"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z w:val="21"/>
                      <w:szCs w:val="21"/>
                      <w:lang w:eastAsia="zh-CN"/>
                    </w:rPr>
                  </w:pPr>
                  <w:r>
                    <w:rPr>
                      <w:rFonts w:hint="eastAsia" w:cs="Times New Roman"/>
                      <w:sz w:val="21"/>
                      <w:szCs w:val="21"/>
                      <w:lang w:eastAsia="zh-CN"/>
                    </w:rPr>
                    <w:t>汞</w:t>
                  </w:r>
                </w:p>
              </w:tc>
              <w:tc>
                <w:tcPr>
                  <w:tcW w:w="339"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1年</w:t>
                  </w:r>
                </w:p>
              </w:tc>
              <w:tc>
                <w:tcPr>
                  <w:tcW w:w="301"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z w:val="21"/>
                      <w:szCs w:val="21"/>
                      <w:lang w:val="en-US" w:eastAsia="zh-CN"/>
                    </w:rPr>
                  </w:pPr>
                  <w:r>
                    <w:rPr>
                      <w:rFonts w:hint="eastAsia" w:cs="Times New Roman"/>
                      <w:sz w:val="21"/>
                      <w:szCs w:val="21"/>
                      <w:lang w:val="en-US" w:eastAsia="zh-CN"/>
                    </w:rPr>
                    <w:t>T</w:t>
                  </w:r>
                </w:p>
              </w:tc>
              <w:tc>
                <w:tcPr>
                  <w:tcW w:w="905" w:type="pct"/>
                  <w:vMerge w:val="continue"/>
                  <w:noWrap w:val="0"/>
                  <w:tcMar>
                    <w:left w:w="0" w:type="dxa"/>
                    <w:right w:w="0" w:type="dxa"/>
                  </w:tcMar>
                  <w:vAlign w:val="center"/>
                </w:tcPr>
                <w:p>
                  <w:pPr>
                    <w:pStyle w:val="59"/>
                    <w:adjustRightInd/>
                    <w:spacing w:line="240" w:lineRule="auto"/>
                    <w:ind w:firstLine="0" w:firstLineChars="0"/>
                    <w:rPr>
                      <w:rFonts w:hint="default"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66" w:type="pct"/>
                  <w:noWrap w:val="0"/>
                  <w:tcMar>
                    <w:left w:w="0" w:type="dxa"/>
                    <w:right w:w="0" w:type="dxa"/>
                  </w:tcMar>
                  <w:vAlign w:val="center"/>
                </w:tcPr>
                <w:p>
                  <w:pPr>
                    <w:pStyle w:val="58"/>
                    <w:adjustRightInd/>
                    <w:spacing w:line="240" w:lineRule="auto"/>
                    <w:ind w:firstLine="0" w:firstLineChars="0"/>
                    <w:rPr>
                      <w:rFonts w:hint="default" w:cs="Times New Roman"/>
                      <w:b w:val="0"/>
                      <w:sz w:val="21"/>
                      <w:szCs w:val="21"/>
                      <w:lang w:val="en-US" w:eastAsia="zh-CN"/>
                    </w:rPr>
                  </w:pPr>
                  <w:r>
                    <w:rPr>
                      <w:rFonts w:hint="eastAsia" w:cs="Times New Roman"/>
                      <w:b w:val="0"/>
                      <w:sz w:val="21"/>
                      <w:szCs w:val="21"/>
                      <w:lang w:val="en-US" w:eastAsia="zh-CN"/>
                    </w:rPr>
                    <w:t>3</w:t>
                  </w:r>
                </w:p>
              </w:tc>
              <w:tc>
                <w:tcPr>
                  <w:tcW w:w="505" w:type="pct"/>
                  <w:noWrap w:val="0"/>
                  <w:tcMar>
                    <w:left w:w="0" w:type="dxa"/>
                    <w:right w:w="0" w:type="dxa"/>
                  </w:tcMar>
                  <w:vAlign w:val="center"/>
                </w:tcPr>
                <w:p>
                  <w:pPr>
                    <w:pStyle w:val="59"/>
                    <w:adjustRightInd/>
                    <w:spacing w:line="240" w:lineRule="auto"/>
                    <w:ind w:firstLine="0" w:firstLineChars="0"/>
                    <w:rPr>
                      <w:rFonts w:hint="eastAsia" w:cs="Times New Roman"/>
                      <w:sz w:val="21"/>
                      <w:szCs w:val="21"/>
                      <w:lang w:eastAsia="zh-CN"/>
                    </w:rPr>
                  </w:pPr>
                  <w:r>
                    <w:rPr>
                      <w:rFonts w:hint="eastAsia" w:cs="Times New Roman"/>
                      <w:sz w:val="21"/>
                      <w:szCs w:val="21"/>
                      <w:lang w:eastAsia="zh-CN"/>
                    </w:rPr>
                    <w:t>废矿物油</w:t>
                  </w:r>
                </w:p>
              </w:tc>
              <w:tc>
                <w:tcPr>
                  <w:tcW w:w="343" w:type="pct"/>
                  <w:noWrap w:val="0"/>
                  <w:tcMar>
                    <w:left w:w="0" w:type="dxa"/>
                    <w:right w:w="0" w:type="dxa"/>
                  </w:tcMar>
                  <w:vAlign w:val="center"/>
                </w:tcPr>
                <w:p>
                  <w:pPr>
                    <w:pStyle w:val="59"/>
                    <w:adjustRightInd/>
                    <w:spacing w:line="240" w:lineRule="auto"/>
                    <w:ind w:firstLine="0" w:firstLineChars="0"/>
                    <w:rPr>
                      <w:rFonts w:hint="default" w:cs="Times New Roman"/>
                      <w:sz w:val="21"/>
                      <w:szCs w:val="21"/>
                      <w:lang w:val="en-US" w:eastAsia="zh-CN"/>
                    </w:rPr>
                  </w:pPr>
                  <w:r>
                    <w:rPr>
                      <w:rFonts w:hint="eastAsia" w:cs="Times New Roman"/>
                      <w:sz w:val="21"/>
                      <w:szCs w:val="21"/>
                      <w:lang w:val="en-US" w:eastAsia="zh-CN"/>
                    </w:rPr>
                    <w:t>HW08</w:t>
                  </w:r>
                </w:p>
              </w:tc>
              <w:tc>
                <w:tcPr>
                  <w:tcW w:w="591"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900-249-08</w:t>
                  </w:r>
                </w:p>
              </w:tc>
              <w:tc>
                <w:tcPr>
                  <w:tcW w:w="420"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0.2t/a</w:t>
                  </w:r>
                </w:p>
              </w:tc>
              <w:tc>
                <w:tcPr>
                  <w:tcW w:w="462"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color w:val="000000" w:themeColor="text1"/>
                      <w:kern w:val="0"/>
                      <w:sz w:val="21"/>
                      <w:szCs w:val="21"/>
                      <w:lang w:eastAsia="zh-CN"/>
                      <w14:textFill>
                        <w14:solidFill>
                          <w14:schemeClr w14:val="tx1"/>
                        </w14:solidFill>
                      </w14:textFill>
                    </w:rPr>
                    <w:t>设备保养</w:t>
                  </w:r>
                </w:p>
              </w:tc>
              <w:tc>
                <w:tcPr>
                  <w:tcW w:w="225"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液态</w:t>
                  </w:r>
                </w:p>
              </w:tc>
              <w:tc>
                <w:tcPr>
                  <w:tcW w:w="358" w:type="pct"/>
                  <w:noWrap w:val="0"/>
                  <w:tcMar>
                    <w:left w:w="0" w:type="dxa"/>
                    <w:right w:w="0" w:type="dxa"/>
                  </w:tcMar>
                  <w:vAlign w:val="center"/>
                </w:tcPr>
                <w:p>
                  <w:pPr>
                    <w:autoSpaceDE w:val="0"/>
                    <w:autoSpaceDN w:val="0"/>
                    <w:adjustRightInd w:val="0"/>
                    <w:snapToGrid w:val="0"/>
                    <w:spacing w:line="240" w:lineRule="auto"/>
                    <w:ind w:firstLine="0" w:firstLineChars="0"/>
                    <w:jc w:val="center"/>
                    <w:rPr>
                      <w:rFonts w:hint="eastAsia" w:ascii="Times New Roman" w:hAnsi="Times New Roman" w:eastAsia="宋体" w:cs="Times New Roman"/>
                      <w:bCs/>
                      <w:color w:val="000000" w:themeColor="text1"/>
                      <w:kern w:val="2"/>
                      <w:sz w:val="21"/>
                      <w:szCs w:val="21"/>
                      <w:lang w:val="en-US" w:eastAsia="zh-CN" w:bidi="ar-SA"/>
                      <w14:textFill>
                        <w14:solidFill>
                          <w14:schemeClr w14:val="tx1"/>
                        </w14:solidFill>
                      </w14:textFill>
                    </w:rPr>
                  </w:pPr>
                  <w:r>
                    <w:rPr>
                      <w:rFonts w:hint="eastAsia"/>
                      <w:bCs/>
                      <w:color w:val="000000" w:themeColor="text1"/>
                      <w:sz w:val="21"/>
                      <w:szCs w:val="21"/>
                      <w:lang w:eastAsia="zh-CN"/>
                      <w14:textFill>
                        <w14:solidFill>
                          <w14:schemeClr w14:val="tx1"/>
                        </w14:solidFill>
                      </w14:textFill>
                    </w:rPr>
                    <w:t>机油</w:t>
                  </w:r>
                </w:p>
              </w:tc>
              <w:tc>
                <w:tcPr>
                  <w:tcW w:w="380"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eastAsia="zh-CN"/>
                      <w14:textFill>
                        <w14:solidFill>
                          <w14:schemeClr w14:val="tx1"/>
                        </w14:solidFill>
                      </w14:textFill>
                    </w:rPr>
                    <w:t>废机油</w:t>
                  </w:r>
                </w:p>
              </w:tc>
              <w:tc>
                <w:tcPr>
                  <w:tcW w:w="339"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1个月</w:t>
                  </w:r>
                </w:p>
              </w:tc>
              <w:tc>
                <w:tcPr>
                  <w:tcW w:w="301" w:type="pct"/>
                  <w:noWrap w:val="0"/>
                  <w:tcMar>
                    <w:left w:w="0" w:type="dxa"/>
                    <w:right w:w="0" w:type="dxa"/>
                  </w:tcMar>
                  <w:vAlign w:val="center"/>
                </w:tcPr>
                <w:p>
                  <w:pPr>
                    <w:pStyle w:val="59"/>
                    <w:adjustRightInd/>
                    <w:spacing w:line="240" w:lineRule="auto"/>
                    <w:ind w:firstLine="0" w:firstLineChars="0"/>
                    <w:rPr>
                      <w:rFonts w:hint="eastAsia" w:ascii="Times New Roman" w:hAnsi="Times New Roman" w:eastAsia="宋体" w:cs="Times New Roman"/>
                      <w:snapToGrid w:val="0"/>
                      <w:color w:val="000000" w:themeColor="text1"/>
                      <w:kern w:val="0"/>
                      <w:sz w:val="21"/>
                      <w:szCs w:val="21"/>
                      <w:lang w:val="en-US" w:eastAsia="zh-CN" w:bidi="ar-SA"/>
                      <w14:textFill>
                        <w14:solidFill>
                          <w14:schemeClr w14:val="tx1"/>
                        </w14:solidFill>
                      </w14:textFill>
                    </w:rPr>
                  </w:pPr>
                  <w:r>
                    <w:rPr>
                      <w:color w:val="000000" w:themeColor="text1"/>
                      <w:sz w:val="21"/>
                      <w:szCs w:val="21"/>
                      <w14:textFill>
                        <w14:solidFill>
                          <w14:schemeClr w14:val="tx1"/>
                        </w14:solidFill>
                      </w14:textFill>
                    </w:rPr>
                    <w:t>T</w:t>
                  </w:r>
                  <w:r>
                    <w:rPr>
                      <w:rFonts w:hint="eastAsia"/>
                      <w:color w:val="000000" w:themeColor="text1"/>
                      <w:sz w:val="21"/>
                      <w:szCs w:val="21"/>
                      <w:lang w:eastAsia="zh-CN"/>
                      <w14:textFill>
                        <w14:solidFill>
                          <w14:schemeClr w14:val="tx1"/>
                        </w14:solidFill>
                      </w14:textFill>
                    </w:rPr>
                    <w:t>，</w:t>
                  </w:r>
                  <w:r>
                    <w:rPr>
                      <w:color w:val="000000" w:themeColor="text1"/>
                      <w:sz w:val="21"/>
                      <w:szCs w:val="21"/>
                      <w14:textFill>
                        <w14:solidFill>
                          <w14:schemeClr w14:val="tx1"/>
                        </w14:solidFill>
                      </w14:textFill>
                    </w:rPr>
                    <w:t>In</w:t>
                  </w:r>
                </w:p>
              </w:tc>
              <w:tc>
                <w:tcPr>
                  <w:tcW w:w="905" w:type="pct"/>
                  <w:vMerge w:val="continue"/>
                  <w:noWrap w:val="0"/>
                  <w:tcMar>
                    <w:left w:w="0" w:type="dxa"/>
                    <w:right w:w="0" w:type="dxa"/>
                  </w:tcMar>
                  <w:vAlign w:val="center"/>
                </w:tcPr>
                <w:p>
                  <w:pPr>
                    <w:pStyle w:val="59"/>
                    <w:adjustRightInd/>
                    <w:spacing w:line="240" w:lineRule="auto"/>
                    <w:ind w:firstLine="0" w:firstLineChars="0"/>
                    <w:rPr>
                      <w:rFonts w:hint="default" w:ascii="Times New Roman" w:hAnsi="Times New Roman" w:cs="Times New Roman"/>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cs="Times New Roman"/>
                <w:snapToGrid w:val="0"/>
                <w:lang w:eastAsia="zh-CN"/>
              </w:rPr>
            </w:pPr>
            <w:r>
              <w:rPr>
                <w:rFonts w:hint="eastAsia" w:cs="Times New Roman"/>
                <w:snapToGrid w:val="0"/>
                <w:lang w:eastAsia="zh-CN"/>
              </w:rPr>
              <w:t>环境管理要求：</w:t>
            </w:r>
          </w:p>
          <w:p>
            <w:pPr>
              <w:keepNext w:val="0"/>
              <w:keepLines w:val="0"/>
              <w:pageBreakBefore w:val="0"/>
              <w:widowControl w:val="0"/>
              <w:tabs>
                <w:tab w:val="left" w:pos="2610"/>
              </w:tabs>
              <w:kinsoku/>
              <w:wordWrap/>
              <w:overflowPunct/>
              <w:topLinePunct w:val="0"/>
              <w:autoSpaceDE/>
              <w:autoSpaceDN/>
              <w:bidi w:val="0"/>
              <w:adjustRightInd w:val="0"/>
              <w:snapToGrid w:val="0"/>
              <w:spacing w:line="360" w:lineRule="auto"/>
              <w:ind w:firstLine="480"/>
              <w:textAlignment w:val="auto"/>
              <w:rPr>
                <w:rFonts w:hint="default" w:ascii="Times New Roman" w:hAnsi="Times New Roman" w:cs="Times New Roman"/>
                <w:color w:val="0000FF"/>
                <w:kern w:val="0"/>
              </w:rPr>
            </w:pPr>
            <w:r>
              <w:rPr>
                <w:rFonts w:hint="default" w:ascii="Times New Roman" w:hAnsi="Times New Roman" w:cs="Times New Roman"/>
                <w:color w:val="0000FF"/>
              </w:rPr>
              <w:t>企业需严格按照《中华人民共和国固体废物污染环境防治法》中的相关规定进行收集、储存和处置。一般工业固体废物的贮存场所要执行</w:t>
            </w:r>
            <w:r>
              <w:rPr>
                <w:rFonts w:hint="default" w:ascii="Times New Roman" w:hAnsi="Times New Roman" w:cs="Times New Roman"/>
                <w:bCs/>
                <w:color w:val="0000FF"/>
              </w:rPr>
              <w:t>《一般</w:t>
            </w:r>
            <w:r>
              <w:rPr>
                <w:rFonts w:hint="default" w:ascii="Times New Roman" w:hAnsi="Times New Roman" w:cs="Times New Roman"/>
                <w:bCs/>
                <w:color w:val="0000FF"/>
                <w:lang w:eastAsia="zh-CN"/>
              </w:rPr>
              <w:t>工业固体废物贮存和填埋污染控制标准</w:t>
            </w:r>
            <w:r>
              <w:rPr>
                <w:rFonts w:hint="default" w:ascii="Times New Roman" w:hAnsi="Times New Roman" w:cs="Times New Roman"/>
                <w:bCs/>
                <w:color w:val="0000FF"/>
              </w:rPr>
              <w:t>》（GB18599-20</w:t>
            </w:r>
            <w:r>
              <w:rPr>
                <w:rFonts w:hint="default" w:ascii="Times New Roman" w:hAnsi="Times New Roman" w:cs="Times New Roman"/>
                <w:bCs/>
                <w:color w:val="0000FF"/>
                <w:lang w:val="en-US" w:eastAsia="zh-CN"/>
              </w:rPr>
              <w:t>20</w:t>
            </w:r>
            <w:r>
              <w:rPr>
                <w:rFonts w:hint="default" w:ascii="Times New Roman" w:hAnsi="Times New Roman" w:cs="Times New Roman"/>
                <w:bCs/>
                <w:color w:val="0000FF"/>
              </w:rPr>
              <w:t>）</w:t>
            </w:r>
            <w:r>
              <w:rPr>
                <w:rFonts w:hint="default" w:ascii="Times New Roman" w:hAnsi="Times New Roman" w:cs="Times New Roman"/>
                <w:color w:val="0000FF"/>
              </w:rPr>
              <w:t>相关要求</w:t>
            </w:r>
            <w:r>
              <w:rPr>
                <w:rFonts w:hint="eastAsia" w:cs="Times New Roman"/>
                <w:color w:val="0000FF"/>
                <w:lang w:eastAsia="zh-CN"/>
              </w:rPr>
              <w:t>，</w:t>
            </w:r>
            <w:r>
              <w:rPr>
                <w:rFonts w:hint="default" w:ascii="Times New Roman" w:hAnsi="Times New Roman" w:cs="Times New Roman"/>
                <w:snapToGrid w:val="0"/>
                <w:color w:val="0000FF"/>
              </w:rPr>
              <w:t>固废暂存场所地面必须硬化、防渗，四周设排水沟，并设有防雨设施</w:t>
            </w:r>
            <w:r>
              <w:rPr>
                <w:rFonts w:hint="default" w:ascii="Times New Roman" w:hAnsi="Times New Roman" w:cs="Times New Roman"/>
                <w:color w:val="0000FF"/>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snapToGrid w:val="0"/>
                <w:color w:val="0000FF"/>
                <w:lang w:val="en-US" w:eastAsia="zh-CN"/>
              </w:rPr>
            </w:pPr>
            <w:r>
              <w:rPr>
                <w:rFonts w:hint="default" w:ascii="Times New Roman" w:hAnsi="Times New Roman" w:cs="Times New Roman"/>
                <w:snapToGrid w:val="0"/>
                <w:color w:val="0000FF"/>
              </w:rPr>
              <w:t>根据《危险废物贮存污染控制标准》（GB18597-2001）及修改单要求，企业须设立独立的危险废物暂存场所并做好标识，</w:t>
            </w:r>
            <w:r>
              <w:rPr>
                <w:rFonts w:hint="eastAsia" w:ascii="Times New Roman" w:hAnsi="Times New Roman" w:cs="Times New Roman"/>
                <w:snapToGrid w:val="0"/>
                <w:color w:val="0000FF"/>
                <w:lang w:eastAsia="zh-CN"/>
              </w:rPr>
              <w:t>同时还应做好记录，注明名称、来源、数量、特性和容器的类别、存放日期、外运日期及接受单位名称等。</w:t>
            </w:r>
            <w:r>
              <w:rPr>
                <w:rFonts w:hint="eastAsia" w:cs="Times New Roman"/>
                <w:snapToGrid w:val="0"/>
                <w:color w:val="0000FF"/>
                <w:lang w:eastAsia="zh-CN"/>
              </w:rPr>
              <w:t>本项目拟设置危废贮存库一个，面积约为</w:t>
            </w:r>
            <w:r>
              <w:rPr>
                <w:rFonts w:hint="eastAsia" w:cs="Times New Roman"/>
                <w:snapToGrid w:val="0"/>
                <w:color w:val="0000FF"/>
                <w:lang w:val="en-US" w:eastAsia="zh-CN"/>
              </w:rPr>
              <w:t>2m×1m，设计贮存能力为5t。本项目产生的废活性炭、废UV灯管、废润滑油等危险废物约为12.888t，各自收集后采用专用容器贮存，然后再分类分区暂存在危废暂存间内，贮存期限为4个月。因此本项目危废暂存间可以满足本项目危险暂存的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cs="Times New Roman"/>
                <w:snapToGrid w:val="0"/>
                <w:color w:val="0000FF"/>
                <w:lang w:eastAsia="zh-CN"/>
              </w:rPr>
            </w:pPr>
            <w:r>
              <w:rPr>
                <w:rFonts w:hint="eastAsia" w:cs="Times New Roman"/>
                <w:snapToGrid w:val="0"/>
                <w:color w:val="0000FF"/>
                <w:lang w:eastAsia="zh-CN"/>
              </w:rPr>
              <w:t>根据《建设项目危险废物环境影响评价指南》（环境保护部公告</w:t>
            </w:r>
            <w:r>
              <w:rPr>
                <w:rFonts w:hint="eastAsia" w:cs="Times New Roman"/>
                <w:snapToGrid w:val="0"/>
                <w:color w:val="0000FF"/>
                <w:lang w:val="en-US" w:eastAsia="zh-CN"/>
              </w:rPr>
              <w:t>2017年第43号</w:t>
            </w:r>
            <w:r>
              <w:rPr>
                <w:rFonts w:hint="eastAsia" w:cs="Times New Roman"/>
                <w:snapToGrid w:val="0"/>
                <w:color w:val="0000FF"/>
                <w:lang w:eastAsia="zh-CN"/>
              </w:rPr>
              <w:t>），对本项目涉及的危险废物环境影响分析如下：</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firstLine="480"/>
              <w:textAlignment w:val="auto"/>
              <w:rPr>
                <w:rFonts w:hint="eastAsia" w:cs="Times New Roman"/>
                <w:snapToGrid w:val="0"/>
                <w:color w:val="0000FF"/>
                <w:lang w:eastAsia="zh-CN"/>
              </w:rPr>
            </w:pPr>
            <w:r>
              <w:rPr>
                <w:rFonts w:hint="eastAsia" w:cs="Times New Roman"/>
                <w:snapToGrid w:val="0"/>
                <w:color w:val="0000FF"/>
                <w:lang w:eastAsia="zh-CN"/>
              </w:rPr>
              <w:t>危险废物贮存场所环境影响分析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eastAsia="宋体" w:cs="Times New Roman"/>
                <w:snapToGrid w:val="0"/>
                <w:color w:val="0000FF"/>
              </w:rPr>
            </w:pPr>
            <w:r>
              <w:rPr>
                <w:rFonts w:hint="eastAsia" w:ascii="Times New Roman" w:hAnsi="Times New Roman" w:eastAsia="宋体" w:cs="Times New Roman"/>
                <w:snapToGrid w:val="0"/>
                <w:color w:val="0000FF"/>
                <w:lang w:eastAsia="zh-CN"/>
              </w:rPr>
              <w:t>①按照《危险废物贮存污染控制标准》（</w:t>
            </w:r>
            <w:r>
              <w:rPr>
                <w:rFonts w:hint="eastAsia" w:ascii="Times New Roman" w:hAnsi="Times New Roman" w:eastAsia="宋体" w:cs="Times New Roman"/>
                <w:snapToGrid w:val="0"/>
                <w:color w:val="0000FF"/>
                <w:lang w:val="en-US" w:eastAsia="zh-CN"/>
              </w:rPr>
              <w:t>GB18597-2001</w:t>
            </w:r>
            <w:r>
              <w:rPr>
                <w:rFonts w:hint="eastAsia" w:ascii="Times New Roman" w:hAnsi="Times New Roman" w:eastAsia="宋体" w:cs="Times New Roman"/>
                <w:snapToGrid w:val="0"/>
                <w:color w:val="0000FF"/>
                <w:lang w:eastAsia="zh-CN"/>
              </w:rPr>
              <w:t>）中的“</w:t>
            </w:r>
            <w:r>
              <w:rPr>
                <w:rFonts w:hint="eastAsia" w:ascii="Times New Roman" w:hAnsi="Times New Roman" w:eastAsia="宋体" w:cs="Times New Roman"/>
                <w:snapToGrid w:val="0"/>
                <w:color w:val="0000FF"/>
                <w:lang w:val="en-US" w:eastAsia="zh-CN"/>
              </w:rPr>
              <w:t>6.1危险废物集中贮存设施的选址原则</w:t>
            </w:r>
            <w:r>
              <w:rPr>
                <w:rFonts w:hint="eastAsia" w:ascii="Times New Roman" w:hAnsi="Times New Roman" w:eastAsia="宋体" w:cs="Times New Roman"/>
                <w:snapToGrid w:val="0"/>
                <w:color w:val="0000FF"/>
                <w:lang w:eastAsia="zh-CN"/>
              </w:rPr>
              <w:t>”的相关要求对本项目危险废物贮存场所进行符合性分析，本项目选址符合《危险废物贮存污染控制标准》（</w:t>
            </w:r>
            <w:r>
              <w:rPr>
                <w:rFonts w:hint="eastAsia" w:ascii="Times New Roman" w:hAnsi="Times New Roman" w:eastAsia="宋体" w:cs="Times New Roman"/>
                <w:snapToGrid w:val="0"/>
                <w:color w:val="0000FF"/>
                <w:lang w:val="en-US" w:eastAsia="zh-CN"/>
              </w:rPr>
              <w:t>GB18597-2001</w:t>
            </w:r>
            <w:r>
              <w:rPr>
                <w:rFonts w:hint="eastAsia" w:ascii="Times New Roman" w:hAnsi="Times New Roman" w:eastAsia="宋体" w:cs="Times New Roman"/>
                <w:snapToGrid w:val="0"/>
                <w:color w:val="0000FF"/>
                <w:lang w:eastAsia="zh-CN"/>
              </w:rPr>
              <w:t>）的要求</w:t>
            </w:r>
            <w:r>
              <w:rPr>
                <w:rFonts w:hint="default" w:ascii="Times New Roman" w:hAnsi="Times New Roman" w:eastAsia="宋体" w:cs="Times New Roman"/>
                <w:snapToGrid w:val="0"/>
                <w:color w:val="0000FF"/>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eastAsia" w:ascii="Times New Roman" w:hAnsi="Times New Roman" w:eastAsia="宋体" w:cs="Times New Roman"/>
                <w:snapToGrid w:val="0"/>
                <w:color w:val="0000FF"/>
                <w:lang w:eastAsia="zh-CN"/>
              </w:rPr>
            </w:pPr>
            <w:r>
              <w:rPr>
                <w:rFonts w:hint="eastAsia" w:ascii="Times New Roman" w:hAnsi="Times New Roman" w:eastAsia="宋体" w:cs="Times New Roman"/>
                <w:snapToGrid w:val="0"/>
                <w:color w:val="0000FF"/>
                <w:lang w:eastAsia="zh-CN"/>
              </w:rPr>
              <w:t>②危险废物临时贮存场所严格按照《危险废物贮存污染控制标准》及修改单进行设计，采取基础防渗、防火、防雨、防晒、防扬散、通风，配备照明设施等防治环境污染措施。贮存场所粘贴危险废物标签，并做好相应的记录。危险废物由危废处置单位定期清运处理，包装容器为密封容器，容器上粘贴标签，注明种类、成分、危险类别、产地、禁忌与安全措施等，并采用专用密闭车辆，保证运输过程无泄漏。</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imes New Roman" w:hAnsi="Times New Roman" w:eastAsia="宋体" w:cs="Times New Roman"/>
                <w:snapToGrid w:val="0"/>
                <w:color w:val="0000FF"/>
                <w:lang w:eastAsia="zh-CN"/>
              </w:rPr>
            </w:pPr>
            <w:r>
              <w:rPr>
                <w:rFonts w:hint="eastAsia" w:ascii="Times New Roman" w:hAnsi="Times New Roman" w:eastAsia="宋体" w:cs="Times New Roman"/>
                <w:snapToGrid w:val="0"/>
                <w:color w:val="0000FF"/>
                <w:lang w:eastAsia="zh-CN"/>
              </w:rPr>
              <w:t>运输过程的环境影响分析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eastAsia="宋体" w:cs="Times New Roman"/>
                <w:snapToGrid w:val="0"/>
                <w:color w:val="0000FF"/>
                <w:lang w:eastAsia="zh-CN"/>
              </w:rPr>
            </w:pPr>
            <w:r>
              <w:rPr>
                <w:rFonts w:hint="eastAsia" w:ascii="Times New Roman" w:hAnsi="Times New Roman" w:eastAsia="宋体" w:cs="Times New Roman"/>
                <w:snapToGrid w:val="0"/>
                <w:color w:val="0000FF"/>
                <w:lang w:eastAsia="zh-CN"/>
              </w:rPr>
              <w:t>①根据危险固废的成分，用符合国家标准的耐腐蚀、不易破损、变形和老化的容器贮存，并在运输过程中加强监管，避免固体废物散落、泄漏情况的发生。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eastAsia="宋体" w:cs="Times New Roman"/>
                <w:snapToGrid w:val="0"/>
                <w:color w:val="0000FF"/>
                <w:lang w:eastAsia="zh-CN"/>
              </w:rPr>
            </w:pPr>
            <w:r>
              <w:rPr>
                <w:rFonts w:hint="eastAsia" w:ascii="Times New Roman" w:hAnsi="Times New Roman" w:eastAsia="宋体" w:cs="Times New Roman"/>
                <w:snapToGrid w:val="0"/>
                <w:color w:val="0000FF"/>
                <w:lang w:eastAsia="zh-CN"/>
              </w:rPr>
              <w:t>②本项目危险废物由危废处置单位负责运输。原则上危废运输不采取水上运输，采用汽车运输须不上高速公路、避开人口密集、交通拥挤地段，车速适中，做到运输车辆配备与废物特征、数量相符，兼顾安全可靠性和经济合理性，确保危废收集运输正常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eastAsia="宋体" w:cs="Times New Roman"/>
                <w:snapToGrid w:val="0"/>
                <w:color w:val="0000FF"/>
                <w:lang w:eastAsia="zh-CN"/>
              </w:rPr>
            </w:pPr>
            <w:r>
              <w:rPr>
                <w:rFonts w:hint="eastAsia" w:ascii="Times New Roman" w:hAnsi="Times New Roman" w:eastAsia="宋体" w:cs="Times New Roman"/>
                <w:snapToGrid w:val="0"/>
                <w:color w:val="0000FF"/>
                <w:lang w:eastAsia="zh-CN"/>
              </w:rPr>
              <w:t>③危险废物的转移应遵从《危险废物转移联单管理办法》及其他有关规定的要求，并禁止在转移过程中将危险废物排放至环境中。</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Times New Roman" w:hAnsi="Times New Roman" w:eastAsia="宋体" w:cs="Times New Roman"/>
                <w:snapToGrid w:val="0"/>
                <w:color w:val="0000FF"/>
                <w:lang w:eastAsia="zh-CN"/>
              </w:rPr>
            </w:pPr>
            <w:r>
              <w:rPr>
                <w:rFonts w:hint="eastAsia" w:ascii="Times New Roman" w:hAnsi="Times New Roman" w:eastAsia="宋体" w:cs="Times New Roman"/>
                <w:snapToGrid w:val="0"/>
                <w:color w:val="0000FF"/>
                <w:lang w:eastAsia="zh-CN"/>
              </w:rPr>
              <w:t>委托利用或处置的环境影响分析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eastAsia="宋体" w:cs="Times New Roman"/>
                <w:snapToGrid w:val="0"/>
                <w:color w:val="0000FF"/>
                <w:lang w:eastAsia="zh-CN"/>
              </w:rPr>
            </w:pPr>
            <w:r>
              <w:rPr>
                <w:rFonts w:hint="eastAsia" w:ascii="Times New Roman" w:hAnsi="Times New Roman" w:eastAsia="宋体" w:cs="Times New Roman"/>
                <w:snapToGrid w:val="0"/>
                <w:color w:val="0000FF"/>
                <w:lang w:eastAsia="zh-CN"/>
              </w:rPr>
              <w:t>本项目涉及的危险废物收集后应定期委托有相应的资质的危废处置单位进行处置，委托处置单位所经营的危废类别应包含本项目涉及的废物代码。经妥善处置后，本项目涉及的危险废物不会对周围环境产生影响。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Times New Roman" w:hAnsi="Times New Roman" w:eastAsia="宋体" w:cs="Times New Roman"/>
                <w:snapToGrid w:val="0"/>
                <w:color w:val="0000FF"/>
                <w:lang w:eastAsia="zh-CN"/>
              </w:rPr>
            </w:pPr>
            <w:r>
              <w:rPr>
                <w:rFonts w:hint="eastAsia" w:ascii="Times New Roman" w:hAnsi="Times New Roman" w:eastAsia="宋体" w:cs="Times New Roman"/>
                <w:snapToGrid w:val="0"/>
                <w:color w:val="0000FF"/>
                <w:lang w:eastAsia="zh-CN"/>
              </w:rPr>
              <w:t>综上分析，本项目产生的固废去向明确，有效地防止了固体废弃物的逸散和对环境的二次污染，对周围环境不会造成较大影响。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cs="Times New Roman"/>
                <w:snapToGrid w:val="0"/>
              </w:rPr>
            </w:pPr>
            <w:r>
              <w:rPr>
                <w:rFonts w:hint="default" w:ascii="Times New Roman" w:hAnsi="Times New Roman" w:cs="Times New Roman"/>
                <w:snapToGrid w:val="0"/>
              </w:rPr>
              <w:t>5、地下水、土壤</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snapToGrid w:val="0"/>
                <w:color w:val="000000" w:themeColor="text1"/>
                <w14:textFill>
                  <w14:solidFill>
                    <w14:schemeClr w14:val="tx1"/>
                  </w14:solidFill>
                </w14:textFill>
              </w:rPr>
              <w:t>根据《环境影响评价技术导则-地下水环境》（HJ610-2016），本项目地下水环境影响评价项目类别为</w:t>
            </w:r>
            <w:r>
              <w:rPr>
                <w:rFonts w:hint="default" w:ascii="Times New Roman" w:hAnsi="Times New Roman" w:cs="Times New Roman"/>
                <w:snapToGrid w:val="0"/>
                <w:color w:val="000000" w:themeColor="text1"/>
                <w14:textFill>
                  <w14:solidFill>
                    <w14:schemeClr w14:val="tx1"/>
                  </w14:solidFill>
                </w14:textFill>
              </w:rPr>
              <w:fldChar w:fldCharType="begin"/>
            </w:r>
            <w:r>
              <w:rPr>
                <w:rFonts w:hint="default" w:ascii="Times New Roman" w:hAnsi="Times New Roman" w:cs="Times New Roman"/>
                <w:snapToGrid w:val="0"/>
                <w:color w:val="000000" w:themeColor="text1"/>
                <w14:textFill>
                  <w14:solidFill>
                    <w14:schemeClr w14:val="tx1"/>
                  </w14:solidFill>
                </w14:textFill>
              </w:rPr>
              <w:instrText xml:space="preserve"> = 4 \* ROMAN \* MERGEFORMAT </w:instrText>
            </w:r>
            <w:r>
              <w:rPr>
                <w:rFonts w:hint="default" w:ascii="Times New Roman" w:hAnsi="Times New Roman" w:cs="Times New Roman"/>
                <w:snapToGrid w:val="0"/>
                <w:color w:val="000000" w:themeColor="text1"/>
                <w14:textFill>
                  <w14:solidFill>
                    <w14:schemeClr w14:val="tx1"/>
                  </w14:solidFill>
                </w14:textFill>
              </w:rPr>
              <w:fldChar w:fldCharType="separate"/>
            </w:r>
            <w:r>
              <w:rPr>
                <w:rFonts w:hint="default" w:ascii="Times New Roman" w:hAnsi="Times New Roman" w:cs="Times New Roman"/>
                <w:snapToGrid w:val="0"/>
                <w:color w:val="000000" w:themeColor="text1"/>
                <w14:textFill>
                  <w14:solidFill>
                    <w14:schemeClr w14:val="tx1"/>
                  </w14:solidFill>
                </w14:textFill>
              </w:rPr>
              <w:t>IV</w:t>
            </w:r>
            <w:r>
              <w:rPr>
                <w:rFonts w:hint="default" w:ascii="Times New Roman" w:hAnsi="Times New Roman" w:cs="Times New Roman"/>
                <w:snapToGrid w:val="0"/>
                <w:color w:val="000000" w:themeColor="text1"/>
                <w14:textFill>
                  <w14:solidFill>
                    <w14:schemeClr w14:val="tx1"/>
                  </w14:solidFill>
                </w14:textFill>
              </w:rPr>
              <w:fldChar w:fldCharType="end"/>
            </w:r>
            <w:r>
              <w:rPr>
                <w:rFonts w:hint="default" w:ascii="Times New Roman" w:hAnsi="Times New Roman" w:cs="Times New Roman"/>
                <w:snapToGrid w:val="0"/>
                <w:color w:val="000000" w:themeColor="text1"/>
                <w14:textFill>
                  <w14:solidFill>
                    <w14:schemeClr w14:val="tx1"/>
                  </w14:solidFill>
                </w14:textFill>
              </w:rPr>
              <w:t>类项目，无需开展地下水环境影响评价工作；根据</w:t>
            </w:r>
            <w:r>
              <w:rPr>
                <w:rFonts w:hint="default" w:ascii="Times New Roman" w:hAnsi="Times New Roman" w:cs="Times New Roman"/>
                <w:color w:val="000000" w:themeColor="text1"/>
                <w:lang w:val="ru-RU"/>
                <w14:textFill>
                  <w14:solidFill>
                    <w14:schemeClr w14:val="tx1"/>
                  </w14:solidFill>
                </w14:textFill>
              </w:rPr>
              <w:t>《环境影响评价技术导则 土壤环境（试行）》（HJ 964-2018），本项目属于</w:t>
            </w:r>
            <w:r>
              <w:rPr>
                <w:rFonts w:hint="default" w:ascii="Times New Roman" w:hAnsi="Times New Roman" w:cs="Times New Roman"/>
                <w:color w:val="000000" w:themeColor="text1"/>
                <w:lang w:val="ru-RU" w:eastAsia="zh-CN"/>
                <w14:textFill>
                  <w14:solidFill>
                    <w14:schemeClr w14:val="tx1"/>
                  </w14:solidFill>
                </w14:textFill>
              </w:rPr>
              <w:t>Ⅲ</w:t>
            </w:r>
            <w:r>
              <w:rPr>
                <w:rFonts w:hint="default" w:ascii="Times New Roman" w:hAnsi="Times New Roman" w:cs="Times New Roman"/>
                <w:color w:val="000000" w:themeColor="text1"/>
                <w:lang w:val="ru-RU"/>
                <w14:textFill>
                  <w14:solidFill>
                    <w14:schemeClr w14:val="tx1"/>
                  </w14:solidFill>
                </w14:textFill>
              </w:rPr>
              <w:t>类项目；项目占地规模为</w:t>
            </w:r>
            <w:r>
              <w:rPr>
                <w:rFonts w:hint="eastAsia" w:cs="Times New Roman"/>
                <w:color w:val="000000" w:themeColor="text1"/>
                <w:lang w:val="en-US" w:eastAsia="zh-CN"/>
                <w14:textFill>
                  <w14:solidFill>
                    <w14:schemeClr w14:val="tx1"/>
                  </w14:solidFill>
                </w14:textFill>
              </w:rPr>
              <w:t>0.3</w:t>
            </w:r>
            <w:r>
              <w:rPr>
                <w:rFonts w:hint="default" w:ascii="Times New Roman" w:hAnsi="Times New Roman" w:cs="Times New Roman"/>
                <w:color w:val="000000" w:themeColor="text1"/>
                <w14:textFill>
                  <w14:solidFill>
                    <w14:schemeClr w14:val="tx1"/>
                  </w14:solidFill>
                </w14:textFill>
              </w:rPr>
              <w:t>hm</w:t>
            </w:r>
            <w:r>
              <w:rPr>
                <w:rFonts w:hint="default" w:ascii="Times New Roman" w:hAnsi="Times New Roman" w:cs="Times New Roman"/>
                <w:color w:val="000000" w:themeColor="text1"/>
                <w:vertAlign w:val="superscript"/>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，小型；项目所在地块不敏感，</w:t>
            </w:r>
            <w:r>
              <w:rPr>
                <w:rFonts w:hint="default" w:ascii="Times New Roman" w:hAnsi="Times New Roman" w:cs="Times New Roman"/>
                <w:color w:val="000000" w:themeColor="text1"/>
                <w:lang w:val="ru-RU"/>
                <w14:textFill>
                  <w14:solidFill>
                    <w14:schemeClr w14:val="tx1"/>
                  </w14:solidFill>
                </w14:textFill>
              </w:rPr>
              <w:t>故本项目</w:t>
            </w:r>
            <w:r>
              <w:rPr>
                <w:rFonts w:hint="default" w:ascii="Times New Roman" w:hAnsi="Times New Roman" w:cs="Times New Roman"/>
                <w:color w:val="000000" w:themeColor="text1"/>
                <w:lang w:val="ru-RU" w:eastAsia="zh-CN"/>
                <w14:textFill>
                  <w14:solidFill>
                    <w14:schemeClr w14:val="tx1"/>
                  </w14:solidFill>
                </w14:textFill>
              </w:rPr>
              <w:t>可不开展</w:t>
            </w:r>
            <w:r>
              <w:rPr>
                <w:rFonts w:hint="default" w:ascii="Times New Roman" w:hAnsi="Times New Roman" w:cs="Times New Roman"/>
                <w:color w:val="000000" w:themeColor="text1"/>
                <w:lang w:val="ru-RU"/>
                <w14:textFill>
                  <w14:solidFill>
                    <w14:schemeClr w14:val="tx1"/>
                  </w14:solidFill>
                </w14:textFill>
              </w:rPr>
              <w:t>土壤环境影响评价</w:t>
            </w:r>
            <w:r>
              <w:rPr>
                <w:rFonts w:hint="default" w:ascii="Times New Roman" w:hAnsi="Times New Roman" w:cs="Times New Roman"/>
                <w:snapToGrid w:val="0"/>
                <w:color w:val="000000" w:themeColor="text1"/>
                <w14:textFill>
                  <w14:solidFill>
                    <w14:schemeClr w14:val="tx1"/>
                  </w14:solidFill>
                </w14:textFill>
              </w:rPr>
              <w:t>。</w:t>
            </w:r>
            <w:r>
              <w:rPr>
                <w:rFonts w:hint="default" w:ascii="Times New Roman" w:hAnsi="Times New Roman" w:cs="Times New Roman"/>
                <w:bCs/>
                <w:color w:val="000000" w:themeColor="text1"/>
                <w14:textFill>
                  <w14:solidFill>
                    <w14:schemeClr w14:val="tx1"/>
                  </w14:solidFill>
                </w14:textFill>
              </w:rPr>
              <w:t xml:space="preserve">   </w:t>
            </w:r>
          </w:p>
          <w:p>
            <w:pPr>
              <w:pStyle w:val="68"/>
              <w:keepNext w:val="0"/>
              <w:keepLines w:val="0"/>
              <w:pageBreakBefore w:val="0"/>
              <w:widowControl w:val="0"/>
              <w:kinsoku/>
              <w:wordWrap/>
              <w:overflowPunct/>
              <w:topLinePunct w:val="0"/>
              <w:autoSpaceDE/>
              <w:autoSpaceDN/>
              <w:bidi w:val="0"/>
              <w:spacing w:line="360" w:lineRule="auto"/>
              <w:ind w:firstLine="480"/>
              <w:textAlignment w:val="auto"/>
              <w:rPr>
                <w:rFonts w:hint="eastAsia" w:cs="Times New Roman"/>
                <w:snapToGrid w:val="0"/>
                <w:color w:val="0000E1"/>
                <w:lang w:eastAsia="zh-CN"/>
              </w:rPr>
            </w:pPr>
            <w:r>
              <w:rPr>
                <w:rFonts w:hint="eastAsia" w:cs="Times New Roman"/>
                <w:snapToGrid w:val="0"/>
                <w:color w:val="0000E1"/>
                <w:lang w:eastAsia="zh-CN"/>
              </w:rPr>
              <w:t>项目营运期，对土壤和地下水环境的影响主要可以分为垂直入渗、大气沉降和地表漫流。垂直入渗、地表漫流影响主要源自液态危废、污废水以及设备上的油箱等通过泄漏方式，漫流至土壤表面，然后渗入土壤之中，继而影响土壤和地下水的环境质量。沉积影响主要源自废气中污染因子沉降到土壤表面，部分又随着雨水下渗，继而影响土壤和地下水的环境质量。</w:t>
            </w:r>
          </w:p>
          <w:p>
            <w:pPr>
              <w:pStyle w:val="68"/>
              <w:keepNext w:val="0"/>
              <w:keepLines w:val="0"/>
              <w:pageBreakBefore w:val="0"/>
              <w:widowControl w:val="0"/>
              <w:kinsoku/>
              <w:wordWrap/>
              <w:overflowPunct/>
              <w:topLinePunct w:val="0"/>
              <w:autoSpaceDE/>
              <w:autoSpaceDN/>
              <w:bidi w:val="0"/>
              <w:spacing w:line="360" w:lineRule="auto"/>
              <w:ind w:firstLine="480"/>
              <w:textAlignment w:val="auto"/>
              <w:rPr>
                <w:rFonts w:hint="eastAsia" w:cs="Times New Roman"/>
                <w:snapToGrid w:val="0"/>
                <w:color w:val="0000E1"/>
                <w:lang w:eastAsia="zh-CN"/>
              </w:rPr>
            </w:pPr>
            <w:r>
              <w:rPr>
                <w:rFonts w:hint="eastAsia" w:cs="Times New Roman"/>
                <w:snapToGrid w:val="0"/>
                <w:color w:val="0000E1"/>
                <w:lang w:eastAsia="zh-CN"/>
              </w:rPr>
              <w:t>项目系租用杭江西半球家用品实业有限公司的闲置厂房进行建设，厂区内地面已硬化，故正常情况下，不会对土壤及地下水的环境造成影响。一旦发生盛放危废的容器以及设备的油箱破损，泄漏物可能会对土壤及地下水的环境造成影响。但是采取应急处理措施，如及时堵漏、清理，可以最大限度减小对土壤和地下水环境的影响。</w:t>
            </w:r>
          </w:p>
          <w:p>
            <w:pPr>
              <w:pStyle w:val="68"/>
              <w:keepNext w:val="0"/>
              <w:keepLines w:val="0"/>
              <w:pageBreakBefore w:val="0"/>
              <w:widowControl w:val="0"/>
              <w:kinsoku/>
              <w:wordWrap/>
              <w:overflowPunct/>
              <w:topLinePunct w:val="0"/>
              <w:autoSpaceDE/>
              <w:autoSpaceDN/>
              <w:bidi w:val="0"/>
              <w:spacing w:line="360" w:lineRule="auto"/>
              <w:ind w:firstLine="480"/>
              <w:textAlignment w:val="auto"/>
              <w:rPr>
                <w:rFonts w:hint="eastAsia" w:cs="Times New Roman"/>
                <w:snapToGrid w:val="0"/>
                <w:color w:val="0000E1"/>
                <w:lang w:eastAsia="zh-CN"/>
              </w:rPr>
            </w:pPr>
            <w:r>
              <w:rPr>
                <w:rFonts w:hint="eastAsia" w:cs="Times New Roman"/>
                <w:snapToGrid w:val="0"/>
                <w:color w:val="0000E1"/>
                <w:lang w:eastAsia="zh-CN"/>
              </w:rPr>
              <w:t>本项目涉及的污废水主要为生活污水，水质较简单，正常情况通过管道接入污水管网，不会发生污废水漫流并进入土壤和地下水环境的情况。事故状态下，发生的泄漏可能会对土壤和地下水环境产生影响，但是采取应急处理措施，如及时堵漏、地面污废水及时冲洗收集等，可以最大限度减小对土壤和地下水环境的影响。</w:t>
            </w:r>
          </w:p>
          <w:p>
            <w:pPr>
              <w:pStyle w:val="68"/>
              <w:keepNext w:val="0"/>
              <w:keepLines w:val="0"/>
              <w:pageBreakBefore w:val="0"/>
              <w:widowControl w:val="0"/>
              <w:kinsoku/>
              <w:wordWrap/>
              <w:overflowPunct/>
              <w:topLinePunct w:val="0"/>
              <w:autoSpaceDE/>
              <w:autoSpaceDN/>
              <w:bidi w:val="0"/>
              <w:spacing w:line="360" w:lineRule="auto"/>
              <w:ind w:firstLine="480"/>
              <w:textAlignment w:val="auto"/>
              <w:rPr>
                <w:rFonts w:hint="eastAsia" w:cs="Times New Roman"/>
                <w:snapToGrid w:val="0"/>
                <w:color w:val="0000E1"/>
                <w:lang w:eastAsia="zh-CN"/>
              </w:rPr>
            </w:pPr>
            <w:r>
              <w:rPr>
                <w:rFonts w:hint="eastAsia" w:cs="Times New Roman"/>
                <w:snapToGrid w:val="0"/>
                <w:color w:val="0000E1"/>
                <w:lang w:eastAsia="zh-CN"/>
              </w:rPr>
              <w:t>本项目大气污染物主要为颗粒物、有机废气，经废气处理设施净化处理，大部分废气污染物被去除，少量通过排气筒排放，在大气扩散的作用下，沉积到土壤表面的极少，因此通过大气沉降对土壤和地下水环境造成的影响甚微。</w:t>
            </w:r>
          </w:p>
          <w:p>
            <w:pPr>
              <w:pStyle w:val="68"/>
              <w:keepNext w:val="0"/>
              <w:keepLines w:val="0"/>
              <w:pageBreakBefore w:val="0"/>
              <w:widowControl w:val="0"/>
              <w:kinsoku/>
              <w:wordWrap/>
              <w:overflowPunct/>
              <w:topLinePunct w:val="0"/>
              <w:autoSpaceDE/>
              <w:autoSpaceDN/>
              <w:bidi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，为防止</w:t>
            </w:r>
            <w:r>
              <w:rPr>
                <w:rFonts w:hint="eastAsia" w:cs="Times New Roman"/>
                <w:color w:val="000000" w:themeColor="text1"/>
                <w:lang w:eastAsia="zh-CN"/>
                <w14:textFill>
                  <w14:solidFill>
                    <w14:schemeClr w14:val="tx1"/>
                  </w14:solidFill>
                </w14:textFill>
              </w:rPr>
              <w:t>污染物</w:t>
            </w:r>
            <w:r>
              <w:rPr>
                <w:rFonts w:hint="default" w:ascii="Times New Roman" w:hAnsi="Times New Roman" w:cs="Times New Roman"/>
                <w:color w:val="000000" w:themeColor="text1"/>
                <w14:textFill>
                  <w14:solidFill>
                    <w14:schemeClr w14:val="tx1"/>
                  </w14:solidFill>
                </w14:textFill>
              </w:rPr>
              <w:t>泄漏</w:t>
            </w:r>
            <w:r>
              <w:rPr>
                <w:rFonts w:hint="eastAsia" w:cs="Times New Roman"/>
                <w:color w:val="000000" w:themeColor="text1"/>
                <w:lang w:eastAsia="zh-CN"/>
                <w14:textFill>
                  <w14:solidFill>
                    <w14:schemeClr w14:val="tx1"/>
                  </w14:solidFill>
                </w14:textFill>
              </w:rPr>
              <w:t>渗入</w:t>
            </w:r>
            <w:r>
              <w:rPr>
                <w:rFonts w:hint="default" w:ascii="Times New Roman" w:hAnsi="Times New Roman" w:cs="Times New Roman"/>
                <w:color w:val="000000" w:themeColor="text1"/>
                <w14:textFill>
                  <w14:solidFill>
                    <w14:schemeClr w14:val="tx1"/>
                  </w14:solidFill>
                </w14:textFill>
              </w:rPr>
              <w:t>污染地下</w:t>
            </w:r>
            <w:r>
              <w:rPr>
                <w:rFonts w:hint="eastAsia" w:cs="Times New Roman"/>
                <w:color w:val="000000" w:themeColor="text1"/>
                <w:lang w:eastAsia="zh-CN"/>
                <w14:textFill>
                  <w14:solidFill>
                    <w14:schemeClr w14:val="tx1"/>
                  </w14:solidFill>
                </w14:textFill>
              </w:rPr>
              <w:t>污染土壤和</w:t>
            </w:r>
            <w:r>
              <w:rPr>
                <w:rFonts w:hint="default" w:ascii="Times New Roman" w:hAnsi="Times New Roman" w:cs="Times New Roman"/>
                <w:color w:val="000000" w:themeColor="text1"/>
                <w14:textFill>
                  <w14:solidFill>
                    <w14:schemeClr w14:val="tx1"/>
                  </w14:solidFill>
                </w14:textFill>
              </w:rPr>
              <w:t>水体</w:t>
            </w:r>
            <w:r>
              <w:rPr>
                <w:rFonts w:hint="default" w:ascii="Times New Roman" w:hAnsi="Times New Roman" w:cs="Times New Roman"/>
                <w:snapToGrid w:val="0"/>
                <w:color w:val="000000" w:themeColor="text1"/>
                <w14:textFill>
                  <w14:solidFill>
                    <w14:schemeClr w14:val="tx1"/>
                  </w14:solidFill>
                </w14:textFill>
              </w:rPr>
              <w:t>针对可能造成影响的各个环节，</w:t>
            </w:r>
            <w:r>
              <w:rPr>
                <w:rFonts w:hint="default" w:ascii="Times New Roman" w:hAnsi="Times New Roman" w:cs="Times New Roman"/>
                <w:color w:val="000000" w:themeColor="text1"/>
                <w14:textFill>
                  <w14:solidFill>
                    <w14:schemeClr w14:val="tx1"/>
                  </w14:solidFill>
                </w14:textFill>
              </w:rPr>
              <w:t>按照“考虑重点，辐射全面”的防腐防渗原则，将全厂划分为重点防渗区、一般防渗区、简单防渗区，防渗区域划分及防渗要求见下表4-1</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w:t>
            </w:r>
          </w:p>
          <w:p>
            <w:pPr>
              <w:spacing w:line="240" w:lineRule="auto"/>
              <w:ind w:firstLine="0" w:firstLineChars="0"/>
              <w:jc w:val="center"/>
              <w:rPr>
                <w:rFonts w:hint="default" w:ascii="Times New Roman" w:hAnsi="Times New Roman" w:cs="Times New Roman"/>
                <w:b/>
                <w:bCs/>
                <w:color w:val="000000" w:themeColor="text1"/>
                <w:sz w:val="21"/>
                <w:szCs w:val="18"/>
                <w14:textFill>
                  <w14:solidFill>
                    <w14:schemeClr w14:val="tx1"/>
                  </w14:solidFill>
                </w14:textFill>
              </w:rPr>
            </w:pPr>
            <w:r>
              <w:rPr>
                <w:rFonts w:hint="default" w:ascii="Times New Roman" w:hAnsi="Times New Roman" w:cs="Times New Roman"/>
                <w:b/>
                <w:bCs/>
                <w:color w:val="000000" w:themeColor="text1"/>
                <w:sz w:val="21"/>
                <w:szCs w:val="18"/>
                <w14:textFill>
                  <w14:solidFill>
                    <w14:schemeClr w14:val="tx1"/>
                  </w14:solidFill>
                </w14:textFill>
              </w:rPr>
              <w:t>表4-1</w:t>
            </w:r>
            <w:r>
              <w:rPr>
                <w:rFonts w:hint="eastAsia" w:cs="Times New Roman"/>
                <w:b/>
                <w:bCs/>
                <w:color w:val="000000" w:themeColor="text1"/>
                <w:sz w:val="21"/>
                <w:szCs w:val="18"/>
                <w:lang w:val="en-US" w:eastAsia="zh-CN"/>
                <w14:textFill>
                  <w14:solidFill>
                    <w14:schemeClr w14:val="tx1"/>
                  </w14:solidFill>
                </w14:textFill>
              </w:rPr>
              <w:t>3</w:t>
            </w:r>
            <w:r>
              <w:rPr>
                <w:rFonts w:hint="default" w:ascii="Times New Roman" w:hAnsi="Times New Roman" w:cs="Times New Roman"/>
                <w:b/>
                <w:bCs/>
                <w:color w:val="000000" w:themeColor="text1"/>
                <w:sz w:val="21"/>
                <w:szCs w:val="18"/>
                <w14:textFill>
                  <w14:solidFill>
                    <w14:schemeClr w14:val="tx1"/>
                  </w14:solidFill>
                </w14:textFill>
              </w:rPr>
              <w:t xml:space="preserve"> 主要场地防渗分区信息一览表</w:t>
            </w:r>
          </w:p>
          <w:tbl>
            <w:tblPr>
              <w:tblStyle w:val="20"/>
              <w:tblW w:w="4986"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76"/>
              <w:gridCol w:w="2848"/>
              <w:gridCol w:w="51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780" w:type="pct"/>
                  <w:vAlign w:val="center"/>
                </w:tcPr>
                <w:p>
                  <w:pPr>
                    <w:spacing w:line="360" w:lineRule="exact"/>
                    <w:ind w:firstLine="0" w:firstLineChars="0"/>
                    <w:jc w:val="center"/>
                    <w:rPr>
                      <w:rFonts w:hint="default" w:ascii="Times New Roman" w:hAnsi="Times New Roman" w:cs="Times New Roman"/>
                      <w:b/>
                      <w:bCs/>
                      <w:color w:val="000000" w:themeColor="text1"/>
                      <w:sz w:val="21"/>
                      <w:szCs w:val="18"/>
                      <w14:textFill>
                        <w14:solidFill>
                          <w14:schemeClr w14:val="tx1"/>
                        </w14:solidFill>
                      </w14:textFill>
                    </w:rPr>
                  </w:pPr>
                  <w:r>
                    <w:rPr>
                      <w:rFonts w:hint="default" w:ascii="Times New Roman" w:hAnsi="Times New Roman" w:cs="Times New Roman"/>
                      <w:b/>
                      <w:bCs/>
                      <w:color w:val="000000" w:themeColor="text1"/>
                      <w:sz w:val="21"/>
                      <w:szCs w:val="18"/>
                      <w14:textFill>
                        <w14:solidFill>
                          <w14:schemeClr w14:val="tx1"/>
                        </w14:solidFill>
                      </w14:textFill>
                    </w:rPr>
                    <w:t>防渗分区</w:t>
                  </w:r>
                </w:p>
              </w:tc>
              <w:tc>
                <w:tcPr>
                  <w:tcW w:w="1505" w:type="pct"/>
                  <w:vAlign w:val="center"/>
                </w:tcPr>
                <w:p>
                  <w:pPr>
                    <w:spacing w:line="360" w:lineRule="exact"/>
                    <w:ind w:firstLine="0" w:firstLineChars="0"/>
                    <w:jc w:val="center"/>
                    <w:rPr>
                      <w:rFonts w:hint="default" w:ascii="Times New Roman" w:hAnsi="Times New Roman" w:cs="Times New Roman"/>
                      <w:b/>
                      <w:bCs/>
                      <w:color w:val="000000" w:themeColor="text1"/>
                      <w:sz w:val="21"/>
                      <w:szCs w:val="18"/>
                      <w14:textFill>
                        <w14:solidFill>
                          <w14:schemeClr w14:val="tx1"/>
                        </w14:solidFill>
                      </w14:textFill>
                    </w:rPr>
                  </w:pPr>
                  <w:r>
                    <w:rPr>
                      <w:rFonts w:hint="default" w:ascii="Times New Roman" w:hAnsi="Times New Roman" w:cs="Times New Roman"/>
                      <w:b/>
                      <w:bCs/>
                      <w:color w:val="000000" w:themeColor="text1"/>
                      <w:sz w:val="21"/>
                      <w:szCs w:val="18"/>
                      <w14:textFill>
                        <w14:solidFill>
                          <w14:schemeClr w14:val="tx1"/>
                        </w14:solidFill>
                      </w14:textFill>
                    </w:rPr>
                    <w:t>工艺名称</w:t>
                  </w:r>
                </w:p>
              </w:tc>
              <w:tc>
                <w:tcPr>
                  <w:tcW w:w="2714" w:type="pct"/>
                  <w:vAlign w:val="center"/>
                </w:tcPr>
                <w:p>
                  <w:pPr>
                    <w:spacing w:line="360" w:lineRule="exact"/>
                    <w:ind w:firstLine="0" w:firstLineChars="0"/>
                    <w:jc w:val="center"/>
                    <w:rPr>
                      <w:rFonts w:hint="default" w:ascii="Times New Roman" w:hAnsi="Times New Roman" w:cs="Times New Roman"/>
                      <w:b/>
                      <w:bCs/>
                      <w:color w:val="000000" w:themeColor="text1"/>
                      <w:sz w:val="21"/>
                      <w:szCs w:val="18"/>
                      <w14:textFill>
                        <w14:solidFill>
                          <w14:schemeClr w14:val="tx1"/>
                        </w14:solidFill>
                      </w14:textFill>
                    </w:rPr>
                  </w:pPr>
                  <w:r>
                    <w:rPr>
                      <w:rFonts w:hint="default" w:ascii="Times New Roman" w:hAnsi="Times New Roman" w:cs="Times New Roman"/>
                      <w:b/>
                      <w:bCs/>
                      <w:color w:val="000000" w:themeColor="text1"/>
                      <w:sz w:val="21"/>
                      <w:szCs w:val="18"/>
                      <w14:textFill>
                        <w14:solidFill>
                          <w14:schemeClr w14:val="tx1"/>
                        </w14:solidFill>
                      </w14:textFill>
                    </w:rPr>
                    <w:t>防渗技术要求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780" w:type="pct"/>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重点防渗区</w:t>
                  </w:r>
                </w:p>
              </w:tc>
              <w:tc>
                <w:tcPr>
                  <w:tcW w:w="1505" w:type="pct"/>
                  <w:vAlign w:val="center"/>
                </w:tcPr>
                <w:p>
                  <w:pPr>
                    <w:spacing w:line="360" w:lineRule="exact"/>
                    <w:ind w:firstLine="0" w:firstLineChars="0"/>
                    <w:jc w:val="center"/>
                    <w:rPr>
                      <w:rFonts w:hint="eastAsia" w:ascii="Times New Roman" w:hAnsi="Times New Roman" w:eastAsia="宋体" w:cs="Times New Roman"/>
                      <w:color w:val="000000" w:themeColor="text1"/>
                      <w:sz w:val="21"/>
                      <w:szCs w:val="18"/>
                      <w:lang w:val="en-US" w:eastAsia="zh-CN"/>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污水</w:t>
                  </w:r>
                  <w:r>
                    <w:rPr>
                      <w:rFonts w:hint="eastAsia" w:cs="Times New Roman"/>
                      <w:color w:val="000000" w:themeColor="text1"/>
                      <w:sz w:val="21"/>
                      <w:szCs w:val="18"/>
                      <w:lang w:eastAsia="zh-CN"/>
                      <w14:textFill>
                        <w14:solidFill>
                          <w14:schemeClr w14:val="tx1"/>
                        </w14:solidFill>
                      </w14:textFill>
                    </w:rPr>
                    <w:t>处理设施、危废暂存库</w:t>
                  </w:r>
                </w:p>
              </w:tc>
              <w:tc>
                <w:tcPr>
                  <w:tcW w:w="5141" w:type="dxa"/>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eastAsia="宋体" w:cs="Times New Roman"/>
                      <w:color w:val="000000"/>
                      <w:sz w:val="21"/>
                      <w:szCs w:val="18"/>
                      <w:lang w:eastAsia="zh-CN"/>
                    </w:rPr>
                    <w:t>等效黏土防渗层</w:t>
                  </w:r>
                  <w:r>
                    <w:rPr>
                      <w:rFonts w:hint="default" w:ascii="Times New Roman" w:hAnsi="Times New Roman" w:eastAsia="宋体" w:cs="Times New Roman"/>
                      <w:color w:val="000000"/>
                      <w:sz w:val="21"/>
                      <w:szCs w:val="18"/>
                      <w:lang w:val="en-US" w:eastAsia="zh-CN"/>
                    </w:rPr>
                    <w:t>Mb≥6.0m，K≤1×10</w:t>
                  </w:r>
                  <w:r>
                    <w:rPr>
                      <w:rFonts w:hint="default" w:ascii="Times New Roman" w:hAnsi="Times New Roman" w:eastAsia="宋体" w:cs="Times New Roman"/>
                      <w:color w:val="000000"/>
                      <w:sz w:val="21"/>
                      <w:szCs w:val="18"/>
                      <w:vertAlign w:val="superscript"/>
                      <w:lang w:val="en-US" w:eastAsia="zh-CN"/>
                    </w:rPr>
                    <w:t>-7</w:t>
                  </w:r>
                  <w:r>
                    <w:rPr>
                      <w:rFonts w:hint="default" w:ascii="Times New Roman" w:hAnsi="Times New Roman" w:eastAsia="宋体" w:cs="Times New Roman"/>
                      <w:color w:val="000000"/>
                      <w:sz w:val="21"/>
                      <w:szCs w:val="18"/>
                      <w:lang w:val="en-US" w:eastAsia="zh-CN"/>
                    </w:rPr>
                    <w:t>cm/s；或参照GB18598执行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8" w:hRule="atLeast"/>
                <w:jc w:val="center"/>
              </w:trPr>
              <w:tc>
                <w:tcPr>
                  <w:tcW w:w="780" w:type="pct"/>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一般防渗区</w:t>
                  </w:r>
                </w:p>
              </w:tc>
              <w:tc>
                <w:tcPr>
                  <w:tcW w:w="1505" w:type="pct"/>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一般暂存</w:t>
                  </w:r>
                  <w:r>
                    <w:rPr>
                      <w:rFonts w:hint="eastAsia" w:cs="Times New Roman"/>
                      <w:color w:val="000000" w:themeColor="text1"/>
                      <w:sz w:val="21"/>
                      <w:szCs w:val="18"/>
                      <w:lang w:eastAsia="zh-CN"/>
                      <w14:textFill>
                        <w14:solidFill>
                          <w14:schemeClr w14:val="tx1"/>
                        </w14:solidFill>
                      </w14:textFill>
                    </w:rPr>
                    <w:t>间</w:t>
                  </w:r>
                  <w:r>
                    <w:rPr>
                      <w:rFonts w:hint="default" w:ascii="Times New Roman" w:hAnsi="Times New Roman" w:cs="Times New Roman"/>
                      <w:color w:val="000000" w:themeColor="text1"/>
                      <w:sz w:val="21"/>
                      <w:szCs w:val="18"/>
                      <w14:textFill>
                        <w14:solidFill>
                          <w14:schemeClr w14:val="tx1"/>
                        </w14:solidFill>
                      </w14:textFill>
                    </w:rPr>
                    <w:t>、</w:t>
                  </w:r>
                  <w:r>
                    <w:rPr>
                      <w:rFonts w:hint="eastAsia" w:cs="Times New Roman"/>
                      <w:color w:val="000000" w:themeColor="text1"/>
                      <w:sz w:val="21"/>
                      <w:szCs w:val="18"/>
                      <w:lang w:eastAsia="zh-CN"/>
                      <w14:textFill>
                        <w14:solidFill>
                          <w14:schemeClr w14:val="tx1"/>
                        </w14:solidFill>
                      </w14:textFill>
                    </w:rPr>
                    <w:t>废气处理设施区、</w:t>
                  </w:r>
                  <w:r>
                    <w:rPr>
                      <w:rFonts w:hint="default" w:ascii="Times New Roman" w:hAnsi="Times New Roman" w:cs="Times New Roman"/>
                      <w:color w:val="000000" w:themeColor="text1"/>
                      <w:sz w:val="21"/>
                      <w:szCs w:val="18"/>
                      <w14:textFill>
                        <w14:solidFill>
                          <w14:schemeClr w14:val="tx1"/>
                        </w14:solidFill>
                      </w14:textFill>
                    </w:rPr>
                    <w:t>生产车间</w:t>
                  </w:r>
                </w:p>
              </w:tc>
              <w:tc>
                <w:tcPr>
                  <w:tcW w:w="5141" w:type="dxa"/>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eastAsia="宋体" w:cs="Times New Roman"/>
                      <w:color w:val="000000"/>
                      <w:sz w:val="21"/>
                      <w:szCs w:val="18"/>
                    </w:rPr>
                    <w:t>等效黏土防渗层Mb≥1.5m，k≤1×10</w:t>
                  </w:r>
                  <w:r>
                    <w:rPr>
                      <w:rFonts w:hint="default" w:ascii="Times New Roman" w:hAnsi="Times New Roman" w:eastAsia="宋体" w:cs="Times New Roman"/>
                      <w:color w:val="000000"/>
                      <w:sz w:val="21"/>
                      <w:szCs w:val="18"/>
                      <w:vertAlign w:val="superscript"/>
                    </w:rPr>
                    <w:t>-7</w:t>
                  </w:r>
                  <w:r>
                    <w:rPr>
                      <w:rFonts w:hint="default" w:ascii="Times New Roman" w:hAnsi="Times New Roman" w:eastAsia="宋体" w:cs="Times New Roman"/>
                      <w:color w:val="000000"/>
                      <w:sz w:val="21"/>
                      <w:szCs w:val="18"/>
                    </w:rPr>
                    <w:t>cm/s，或参照GB</w:t>
                  </w:r>
                  <w:r>
                    <w:rPr>
                      <w:rFonts w:hint="eastAsia" w:cs="Times New Roman"/>
                      <w:color w:val="000000"/>
                      <w:sz w:val="21"/>
                      <w:szCs w:val="18"/>
                      <w:lang w:val="en-US" w:eastAsia="zh-CN"/>
                    </w:rPr>
                    <w:t>16889</w:t>
                  </w:r>
                  <w:r>
                    <w:rPr>
                      <w:rFonts w:hint="default" w:ascii="Times New Roman" w:hAnsi="Times New Roman" w:eastAsia="宋体" w:cs="Times New Roman"/>
                      <w:color w:val="000000"/>
                      <w:sz w:val="21"/>
                      <w:szCs w:val="18"/>
                    </w:rPr>
                    <w:t>执行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jc w:val="center"/>
              </w:trPr>
              <w:tc>
                <w:tcPr>
                  <w:tcW w:w="780" w:type="pct"/>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default" w:ascii="Times New Roman" w:hAnsi="Times New Roman" w:cs="Times New Roman"/>
                      <w:color w:val="000000" w:themeColor="text1"/>
                      <w:sz w:val="21"/>
                      <w:szCs w:val="18"/>
                      <w14:textFill>
                        <w14:solidFill>
                          <w14:schemeClr w14:val="tx1"/>
                        </w14:solidFill>
                      </w14:textFill>
                    </w:rPr>
                    <w:t>简单防渗区</w:t>
                  </w:r>
                </w:p>
              </w:tc>
              <w:tc>
                <w:tcPr>
                  <w:tcW w:w="1505" w:type="pct"/>
                  <w:vAlign w:val="center"/>
                </w:tcPr>
                <w:p>
                  <w:pPr>
                    <w:spacing w:line="360" w:lineRule="exact"/>
                    <w:ind w:firstLine="0" w:firstLineChars="0"/>
                    <w:jc w:val="center"/>
                    <w:rPr>
                      <w:rFonts w:hint="eastAsia" w:ascii="Times New Roman" w:hAnsi="Times New Roman" w:eastAsia="宋体" w:cs="Times New Roman"/>
                      <w:color w:val="000000" w:themeColor="text1"/>
                      <w:sz w:val="21"/>
                      <w:szCs w:val="18"/>
                      <w:lang w:eastAsia="zh-CN"/>
                      <w14:textFill>
                        <w14:solidFill>
                          <w14:schemeClr w14:val="tx1"/>
                        </w14:solidFill>
                      </w14:textFill>
                    </w:rPr>
                  </w:pPr>
                  <w:r>
                    <w:rPr>
                      <w:rFonts w:hint="eastAsia" w:cs="Times New Roman"/>
                      <w:color w:val="000000" w:themeColor="text1"/>
                      <w:sz w:val="21"/>
                      <w:szCs w:val="18"/>
                      <w:lang w:eastAsia="zh-CN"/>
                      <w14:textFill>
                        <w14:solidFill>
                          <w14:schemeClr w14:val="tx1"/>
                        </w14:solidFill>
                      </w14:textFill>
                    </w:rPr>
                    <w:t>办公区</w:t>
                  </w:r>
                </w:p>
              </w:tc>
              <w:tc>
                <w:tcPr>
                  <w:tcW w:w="5141" w:type="dxa"/>
                  <w:vAlign w:val="center"/>
                </w:tcPr>
                <w:p>
                  <w:pPr>
                    <w:spacing w:line="360" w:lineRule="exact"/>
                    <w:ind w:firstLine="0" w:firstLineChars="0"/>
                    <w:jc w:val="center"/>
                    <w:rPr>
                      <w:rFonts w:hint="default" w:ascii="Times New Roman" w:hAnsi="Times New Roman" w:cs="Times New Roman"/>
                      <w:color w:val="000000" w:themeColor="text1"/>
                      <w:sz w:val="21"/>
                      <w:szCs w:val="18"/>
                      <w14:textFill>
                        <w14:solidFill>
                          <w14:schemeClr w14:val="tx1"/>
                        </w14:solidFill>
                      </w14:textFill>
                    </w:rPr>
                  </w:pPr>
                  <w:r>
                    <w:rPr>
                      <w:rFonts w:hint="eastAsia" w:cs="Times New Roman"/>
                      <w:color w:val="000000"/>
                      <w:sz w:val="21"/>
                      <w:szCs w:val="18"/>
                      <w:lang w:eastAsia="zh-CN"/>
                    </w:rPr>
                    <w:t>一般</w:t>
                  </w:r>
                  <w:r>
                    <w:rPr>
                      <w:rFonts w:hint="eastAsia" w:ascii="Times New Roman" w:hAnsi="Times New Roman" w:eastAsia="宋体" w:cs="Times New Roman"/>
                      <w:color w:val="000000"/>
                      <w:sz w:val="21"/>
                      <w:szCs w:val="18"/>
                      <w:lang w:eastAsia="zh-CN"/>
                    </w:rPr>
                    <w:t>地面硬化</w:t>
                  </w:r>
                </w:p>
              </w:tc>
            </w:tr>
          </w:tbl>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6、生态</w:t>
            </w:r>
          </w:p>
          <w:p>
            <w:pPr>
              <w:adjustRightInd w:val="0"/>
              <w:snapToGrid w:val="0"/>
              <w:ind w:firstLine="480"/>
              <w:rPr>
                <w:rFonts w:hint="default" w:ascii="Times New Roman" w:hAnsi="Times New Roman" w:cs="Times New Roman"/>
                <w:snapToGrid w:val="0"/>
              </w:rPr>
            </w:pPr>
            <w:r>
              <w:rPr>
                <w:rFonts w:hint="default" w:ascii="Times New Roman" w:hAnsi="Times New Roman" w:cs="Times New Roman"/>
                <w:snapToGrid w:val="0"/>
              </w:rPr>
              <w:t>项目位于江西省上饶市婺源县工业园区金庸大道99号，在</w:t>
            </w:r>
            <w:r>
              <w:rPr>
                <w:rFonts w:hint="eastAsia" w:cs="Times New Roman"/>
                <w:snapToGrid w:val="0"/>
                <w:lang w:eastAsia="zh-CN"/>
              </w:rPr>
              <w:t>婺源县工业园区</w:t>
            </w:r>
            <w:r>
              <w:rPr>
                <w:rFonts w:hint="default" w:ascii="Times New Roman" w:hAnsi="Times New Roman" w:cs="Times New Roman"/>
                <w:snapToGrid w:val="0"/>
              </w:rPr>
              <w:t>建成范围内，因此，可不进行生态环境影响分析，不提相关保护措施。</w:t>
            </w:r>
          </w:p>
          <w:p>
            <w:pPr>
              <w:adjustRightInd w:val="0"/>
              <w:snapToGrid w:val="0"/>
              <w:ind w:firstLine="480"/>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7、环境风险</w:t>
            </w:r>
          </w:p>
          <w:p>
            <w:pPr>
              <w:widowControl/>
              <w:adjustRightInd w:val="0"/>
              <w:snapToGrid w:val="0"/>
              <w:ind w:firstLine="480"/>
              <w:rPr>
                <w:rFonts w:hint="default" w:ascii="Times New Roman" w:hAnsi="Times New Roman" w:cs="Times New Roman"/>
                <w:bCs/>
                <w:kern w:val="0"/>
                <w:szCs w:val="21"/>
              </w:rPr>
            </w:pPr>
            <w:r>
              <w:rPr>
                <w:rFonts w:hint="default" w:ascii="Times New Roman" w:hAnsi="Times New Roman" w:cs="Times New Roman"/>
                <w:bCs/>
                <w:kern w:val="0"/>
                <w:szCs w:val="21"/>
              </w:rPr>
              <w:t>7.1</w:t>
            </w:r>
            <w:r>
              <w:rPr>
                <w:rFonts w:hint="default" w:ascii="Times New Roman" w:hAnsi="Times New Roman" w:cs="Times New Roman"/>
                <w:bCs/>
                <w:szCs w:val="21"/>
              </w:rPr>
              <w:t>环境风险识别</w:t>
            </w:r>
          </w:p>
          <w:p>
            <w:pPr>
              <w:autoSpaceDE w:val="0"/>
              <w:autoSpaceDN w:val="0"/>
              <w:adjustRightInd w:val="0"/>
              <w:snapToGrid w:val="0"/>
              <w:ind w:firstLine="480"/>
              <w:rPr>
                <w:rFonts w:hint="default" w:ascii="Times New Roman" w:hAnsi="Times New Roman" w:cs="Times New Roman"/>
                <w:szCs w:val="21"/>
                <w:lang w:val="zh-CN"/>
              </w:rPr>
            </w:pPr>
            <w:r>
              <w:rPr>
                <w:rFonts w:hint="default" w:ascii="Times New Roman" w:hAnsi="Times New Roman" w:cs="Times New Roman"/>
                <w:szCs w:val="21"/>
              </w:rPr>
              <w:t>通过对项目涉及的原料、辅料、产品及废物等物质进行调查，涉及的危险物质主要</w:t>
            </w:r>
            <w:r>
              <w:rPr>
                <w:rFonts w:hint="eastAsia" w:cs="Times New Roman"/>
                <w:szCs w:val="21"/>
                <w:lang w:eastAsia="zh-CN"/>
              </w:rPr>
              <w:t>为</w:t>
            </w:r>
            <w:r>
              <w:rPr>
                <w:rFonts w:hint="default" w:ascii="Times New Roman" w:hAnsi="Times New Roman" w:cs="Times New Roman"/>
                <w:szCs w:val="21"/>
              </w:rPr>
              <w:t>火灾和爆炸产生的CO等伴生/次生物</w:t>
            </w:r>
            <w:r>
              <w:rPr>
                <w:rFonts w:hint="default" w:ascii="Times New Roman" w:hAnsi="Times New Roman" w:cs="Times New Roman"/>
                <w:szCs w:val="21"/>
                <w:lang w:val="zh-CN"/>
              </w:rPr>
              <w:t>。</w:t>
            </w:r>
          </w:p>
          <w:p>
            <w:pPr>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根据工艺流程和厂区平面布局，项目涉及危险单元主要包括</w:t>
            </w:r>
            <w:r>
              <w:rPr>
                <w:rFonts w:hint="eastAsia" w:cs="Times New Roman"/>
                <w:szCs w:val="21"/>
                <w:lang w:eastAsia="zh-CN"/>
              </w:rPr>
              <w:t>原料仓库及成品仓库</w:t>
            </w:r>
            <w:r>
              <w:rPr>
                <w:rFonts w:hint="default" w:ascii="Times New Roman" w:hAnsi="Times New Roman" w:cs="Times New Roman"/>
                <w:szCs w:val="21"/>
              </w:rPr>
              <w:t>等。火灾爆炸衍生次生消防废水等环境事件经地表径流和大气扩散对周围大气和地表水环境产生影响。</w:t>
            </w:r>
          </w:p>
          <w:p>
            <w:pPr>
              <w:adjustRightInd w:val="0"/>
              <w:snapToGrid w:val="0"/>
              <w:ind w:firstLine="480"/>
              <w:rPr>
                <w:rFonts w:hint="default" w:ascii="Times New Roman" w:hAnsi="Times New Roman" w:cs="Times New Roman"/>
                <w:szCs w:val="21"/>
              </w:rPr>
            </w:pPr>
            <w:r>
              <w:rPr>
                <w:rFonts w:hint="default" w:ascii="Times New Roman" w:hAnsi="Times New Roman" w:cs="Times New Roman"/>
                <w:szCs w:val="21"/>
              </w:rPr>
              <w:t>项目风险识别汇总见表4-1</w:t>
            </w:r>
            <w:r>
              <w:rPr>
                <w:rFonts w:hint="eastAsia" w:cs="Times New Roman"/>
                <w:szCs w:val="21"/>
                <w:lang w:val="en-US" w:eastAsia="zh-CN"/>
              </w:rPr>
              <w:t>4</w:t>
            </w:r>
            <w:r>
              <w:rPr>
                <w:rFonts w:hint="default" w:ascii="Times New Roman" w:hAnsi="Times New Roman" w:cs="Times New Roman"/>
                <w:szCs w:val="21"/>
              </w:rPr>
              <w:t>。</w:t>
            </w:r>
          </w:p>
          <w:p>
            <w:pPr>
              <w:widowControl/>
              <w:adjustRightInd w:val="0"/>
              <w:snapToGrid w:val="0"/>
              <w:spacing w:line="240" w:lineRule="auto"/>
              <w:ind w:firstLine="0" w:firstLineChars="0"/>
              <w:jc w:val="center"/>
              <w:rPr>
                <w:rFonts w:hint="default" w:ascii="Times New Roman" w:hAnsi="Times New Roman" w:cs="Times New Roman"/>
                <w:b/>
                <w:bCs/>
                <w:kern w:val="0"/>
                <w:sz w:val="21"/>
                <w:szCs w:val="21"/>
              </w:rPr>
            </w:pPr>
            <w:r>
              <w:rPr>
                <w:rFonts w:hint="default" w:ascii="Times New Roman" w:hAnsi="Times New Roman" w:cs="Times New Roman"/>
                <w:b/>
                <w:bCs/>
                <w:kern w:val="0"/>
                <w:sz w:val="21"/>
                <w:szCs w:val="21"/>
              </w:rPr>
              <w:t>表4-1</w:t>
            </w:r>
            <w:r>
              <w:rPr>
                <w:rFonts w:hint="eastAsia" w:cs="Times New Roman"/>
                <w:b/>
                <w:bCs/>
                <w:kern w:val="0"/>
                <w:sz w:val="21"/>
                <w:szCs w:val="21"/>
                <w:lang w:val="en-US" w:eastAsia="zh-CN"/>
              </w:rPr>
              <w:t>4</w:t>
            </w:r>
            <w:r>
              <w:rPr>
                <w:rFonts w:hint="default" w:ascii="Times New Roman" w:hAnsi="Times New Roman" w:cs="Times New Roman"/>
                <w:b/>
                <w:bCs/>
                <w:kern w:val="0"/>
                <w:sz w:val="21"/>
                <w:szCs w:val="21"/>
              </w:rPr>
              <w:t xml:space="preserve"> 建设项目环境风险识别表</w:t>
            </w:r>
          </w:p>
          <w:tbl>
            <w:tblPr>
              <w:tblStyle w:val="20"/>
              <w:tblpPr w:leftFromText="180" w:rightFromText="180" w:vertAnchor="text" w:tblpXSpec="center" w:tblpY="1"/>
              <w:tblOverlap w:val="never"/>
              <w:tblW w:w="5000"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520"/>
              <w:gridCol w:w="1088"/>
              <w:gridCol w:w="1847"/>
              <w:gridCol w:w="1099"/>
              <w:gridCol w:w="913"/>
              <w:gridCol w:w="2462"/>
              <w:gridCol w:w="1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274"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序号</w:t>
                  </w:r>
                </w:p>
              </w:tc>
              <w:tc>
                <w:tcPr>
                  <w:tcW w:w="573"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风险源分布情况</w:t>
                  </w:r>
                </w:p>
              </w:tc>
              <w:tc>
                <w:tcPr>
                  <w:tcW w:w="973"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风险源</w:t>
                  </w:r>
                </w:p>
              </w:tc>
              <w:tc>
                <w:tcPr>
                  <w:tcW w:w="579"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主要风险物质</w:t>
                  </w:r>
                </w:p>
              </w:tc>
              <w:tc>
                <w:tcPr>
                  <w:tcW w:w="481"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环境风险类型</w:t>
                  </w:r>
                </w:p>
              </w:tc>
              <w:tc>
                <w:tcPr>
                  <w:tcW w:w="1297"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环境影响途径</w:t>
                  </w:r>
                </w:p>
              </w:tc>
              <w:tc>
                <w:tcPr>
                  <w:tcW w:w="821"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Cs/>
                      <w:sz w:val="21"/>
                    </w:rPr>
                  </w:pPr>
                  <w:r>
                    <w:rPr>
                      <w:rFonts w:hint="default" w:ascii="Times New Roman" w:hAnsi="Times New Roman" w:cs="Times New Roman"/>
                      <w:bCs/>
                      <w:sz w:val="21"/>
                    </w:rPr>
                    <w:t>可能受影响的环境敏感目标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c>
                <w:tcPr>
                  <w:tcW w:w="274"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1</w:t>
                  </w:r>
                </w:p>
              </w:tc>
              <w:tc>
                <w:tcPr>
                  <w:tcW w:w="573"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 w:val="0"/>
                      <w:bCs/>
                      <w:sz w:val="21"/>
                    </w:rPr>
                  </w:pPr>
                  <w:r>
                    <w:rPr>
                      <w:rFonts w:hint="eastAsia" w:cs="Times New Roman"/>
                      <w:b w:val="0"/>
                      <w:bCs/>
                      <w:sz w:val="21"/>
                      <w:lang w:eastAsia="zh-CN"/>
                    </w:rPr>
                    <w:t>原料仓库、成品仓库</w:t>
                  </w:r>
                </w:p>
              </w:tc>
              <w:tc>
                <w:tcPr>
                  <w:tcW w:w="973"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管理不善可能发生火灾</w:t>
                  </w:r>
                </w:p>
              </w:tc>
              <w:tc>
                <w:tcPr>
                  <w:tcW w:w="579"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CO</w:t>
                  </w:r>
                </w:p>
              </w:tc>
              <w:tc>
                <w:tcPr>
                  <w:tcW w:w="481"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泄露、火灾</w:t>
                  </w:r>
                </w:p>
              </w:tc>
              <w:tc>
                <w:tcPr>
                  <w:tcW w:w="1297" w:type="pct"/>
                  <w:vAlign w:val="center"/>
                </w:tcPr>
                <w:p>
                  <w:pPr>
                    <w:pStyle w:val="52"/>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环境空气、地表水</w:t>
                  </w:r>
                </w:p>
              </w:tc>
              <w:tc>
                <w:tcPr>
                  <w:tcW w:w="821" w:type="pct"/>
                  <w:tcBorders>
                    <w:top w:val="single" w:color="auto" w:sz="2" w:space="0"/>
                    <w:left w:val="single" w:color="auto" w:sz="2" w:space="0"/>
                    <w:bottom w:val="single" w:color="auto" w:sz="2" w:space="0"/>
                    <w:right w:val="single" w:color="auto" w:sz="2" w:space="0"/>
                  </w:tcBorders>
                  <w:vAlign w:val="center"/>
                </w:tcPr>
                <w:p>
                  <w:pPr>
                    <w:pStyle w:val="52"/>
                    <w:spacing w:line="240" w:lineRule="auto"/>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地表水、大气环境</w:t>
                  </w:r>
                </w:p>
              </w:tc>
            </w:tr>
          </w:tbl>
          <w:p>
            <w:pPr>
              <w:keepNext/>
              <w:keepLines/>
              <w:pageBreakBefore w:val="0"/>
              <w:widowControl/>
              <w:kinsoku/>
              <w:wordWrap/>
              <w:overflowPunct/>
              <w:topLinePunct w:val="0"/>
              <w:autoSpaceDE/>
              <w:autoSpaceDN/>
              <w:bidi w:val="0"/>
              <w:adjustRightInd/>
              <w:snapToGrid/>
              <w:spacing w:line="440" w:lineRule="exact"/>
              <w:textAlignment w:val="auto"/>
              <w:rPr>
                <w:rFonts w:hint="eastAsia"/>
                <w:lang w:eastAsia="zh-CN"/>
              </w:rPr>
            </w:pPr>
            <w:r>
              <w:rPr>
                <w:rFonts w:hint="default" w:ascii="Times New Roman" w:hAnsi="Times New Roman" w:cs="Times New Roman"/>
                <w:bCs w:val="0"/>
                <w:szCs w:val="24"/>
              </w:rPr>
              <w:t>7.2</w:t>
            </w:r>
            <w:r>
              <w:rPr>
                <w:rFonts w:hint="eastAsia"/>
                <w:lang w:eastAsia="zh-CN"/>
              </w:rPr>
              <w:t>环境风险评价工作等级</w:t>
            </w:r>
          </w:p>
          <w:p>
            <w:pPr>
              <w:keepNext/>
              <w:keepLines/>
              <w:pageBreakBefore w:val="0"/>
              <w:widowControl/>
              <w:kinsoku/>
              <w:wordWrap/>
              <w:overflowPunct/>
              <w:topLinePunct w:val="0"/>
              <w:autoSpaceDE/>
              <w:autoSpaceDN/>
              <w:bidi w:val="0"/>
              <w:adjustRightInd/>
              <w:snapToGrid/>
              <w:spacing w:line="440" w:lineRule="exact"/>
              <w:textAlignment w:val="auto"/>
              <w:rPr>
                <w:rFonts w:hint="default"/>
              </w:rPr>
            </w:pPr>
            <w:r>
              <w:rPr>
                <w:rFonts w:hint="default"/>
              </w:rPr>
              <w:t>根据《建设项目环境风险评价技术导则》（HJ169-2018），环境风险评价工作等级划分一级、二级、三级。根据建设项目</w:t>
            </w:r>
            <w:r>
              <w:rPr>
                <w:rFonts w:hint="eastAsia"/>
                <w:lang w:eastAsia="zh-CN"/>
              </w:rPr>
              <w:t>涉及</w:t>
            </w:r>
            <w:r>
              <w:rPr>
                <w:rFonts w:hint="default"/>
              </w:rPr>
              <w:t>的物质及工艺系统危险性和所在地的环境敏感性确定环境风险潜势，按照表</w:t>
            </w:r>
            <w:r>
              <w:rPr>
                <w:rFonts w:hint="eastAsia"/>
                <w:lang w:val="en-US" w:eastAsia="zh-CN"/>
              </w:rPr>
              <w:t>4-15</w:t>
            </w:r>
            <w:r>
              <w:rPr>
                <w:rFonts w:hint="default"/>
              </w:rPr>
              <w:t>确定评价工作等级。风险潜势为Ⅳ及以上，进行一级评价；风险潜势为Ⅲ，进行二级评价；风险潜势为Ⅱ，进行三级评价；风险潜势为Ⅰ，可开展简单分析。</w:t>
            </w:r>
          </w:p>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表</w:t>
            </w:r>
            <w:r>
              <w:rPr>
                <w:rFonts w:hint="eastAsia" w:ascii="Times New Roman" w:hAnsi="Times New Roman" w:eastAsia="宋体" w:cs="Times New Roman"/>
                <w:b/>
                <w:bCs/>
                <w:color w:val="auto"/>
                <w:sz w:val="21"/>
                <w:szCs w:val="18"/>
                <w:lang w:val="en-US" w:eastAsia="zh-CN"/>
              </w:rPr>
              <w:t>4-</w:t>
            </w:r>
            <w:r>
              <w:rPr>
                <w:rFonts w:hint="eastAsia" w:cs="Times New Roman"/>
                <w:b/>
                <w:bCs/>
                <w:color w:val="auto"/>
                <w:sz w:val="21"/>
                <w:szCs w:val="18"/>
                <w:lang w:val="en-US" w:eastAsia="zh-CN"/>
              </w:rPr>
              <w:t xml:space="preserve">15  </w:t>
            </w:r>
            <w:r>
              <w:rPr>
                <w:rFonts w:hint="default" w:ascii="Times New Roman" w:hAnsi="Times New Roman" w:eastAsia="宋体" w:cs="Times New Roman"/>
                <w:b/>
                <w:bCs/>
                <w:color w:val="auto"/>
                <w:sz w:val="21"/>
                <w:szCs w:val="18"/>
              </w:rPr>
              <w:t xml:space="preserve"> 建设项目环境风险评价工作级别表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1725"/>
              <w:gridCol w:w="1962"/>
              <w:gridCol w:w="2413"/>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1730"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环境风险潜势</w:t>
                  </w:r>
                </w:p>
              </w:tc>
              <w:tc>
                <w:tcPr>
                  <w:tcW w:w="1725"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Ⅳ、Ⅳ+</w:t>
                  </w:r>
                </w:p>
              </w:tc>
              <w:tc>
                <w:tcPr>
                  <w:tcW w:w="1962"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Ⅲ</w:t>
                  </w:r>
                </w:p>
              </w:tc>
              <w:tc>
                <w:tcPr>
                  <w:tcW w:w="2413"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Ⅱ</w:t>
                  </w:r>
                </w:p>
              </w:tc>
              <w:tc>
                <w:tcPr>
                  <w:tcW w:w="2132" w:type="dxa"/>
                  <w:noWrap w:val="0"/>
                  <w:vAlign w:val="center"/>
                </w:tcPr>
                <w:p>
                  <w:pPr>
                    <w:spacing w:line="360" w:lineRule="exact"/>
                    <w:ind w:firstLine="0" w:firstLineChars="0"/>
                    <w:jc w:val="center"/>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30"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评价工作等级</w:t>
                  </w:r>
                </w:p>
              </w:tc>
              <w:tc>
                <w:tcPr>
                  <w:tcW w:w="1725"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一</w:t>
                  </w:r>
                </w:p>
              </w:tc>
              <w:tc>
                <w:tcPr>
                  <w:tcW w:w="1962"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二</w:t>
                  </w:r>
                </w:p>
              </w:tc>
              <w:tc>
                <w:tcPr>
                  <w:tcW w:w="2413"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三</w:t>
                  </w:r>
                </w:p>
              </w:tc>
              <w:tc>
                <w:tcPr>
                  <w:tcW w:w="2132" w:type="dxa"/>
                  <w:noWrap w:val="0"/>
                  <w:vAlign w:val="center"/>
                </w:tcPr>
                <w:p>
                  <w:pPr>
                    <w:spacing w:line="360" w:lineRule="exact"/>
                    <w:ind w:firstLine="0" w:firstLineChars="0"/>
                    <w:jc w:val="center"/>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9962" w:type="dxa"/>
                  <w:gridSpan w:val="5"/>
                  <w:noWrap w:val="0"/>
                  <w:vAlign w:val="center"/>
                </w:tcPr>
                <w:p>
                  <w:pPr>
                    <w:spacing w:line="240" w:lineRule="auto"/>
                    <w:jc w:val="center"/>
                    <w:rPr>
                      <w:rFonts w:ascii="Times New Roman" w:hAnsi="Times New Roman"/>
                      <w:color w:val="auto"/>
                      <w:szCs w:val="21"/>
                    </w:rPr>
                  </w:pPr>
                  <w:r>
                    <w:rPr>
                      <w:rFonts w:hint="default" w:ascii="Times New Roman" w:hAnsi="Times New Roman" w:eastAsia="宋体" w:cs="Times New Roman"/>
                      <w:b w:val="0"/>
                      <w:bCs w:val="0"/>
                      <w:color w:val="auto"/>
                      <w:sz w:val="21"/>
                      <w:szCs w:val="18"/>
                    </w:rPr>
                    <w:t>A是相对于详细评价工作内容而言，在描述危险物质、环境影响途径、环境危害后果、风险防范措施等方面给出给定性的说明。见附录A</w:t>
                  </w:r>
                </w:p>
              </w:tc>
            </w:tr>
          </w:tbl>
          <w:p>
            <w:pPr>
              <w:keepNext/>
              <w:keepLines/>
              <w:pageBreakBefore w:val="0"/>
              <w:widowControl/>
              <w:kinsoku/>
              <w:wordWrap/>
              <w:overflowPunct/>
              <w:topLinePunct w:val="0"/>
              <w:autoSpaceDE/>
              <w:autoSpaceDN/>
              <w:bidi w:val="0"/>
              <w:adjustRightInd/>
              <w:snapToGrid/>
              <w:spacing w:line="440" w:lineRule="exact"/>
              <w:textAlignment w:val="auto"/>
              <w:rPr>
                <w:rFonts w:hint="eastAsia"/>
                <w:lang w:val="en-US" w:eastAsia="zh-CN"/>
              </w:rPr>
            </w:pPr>
            <w:r>
              <w:rPr>
                <w:rFonts w:hint="eastAsia"/>
                <w:lang w:eastAsia="zh-CN"/>
              </w:rPr>
              <w:t>项目不涉及爆炸性物质、易爆物质、活性化学物质和有毒物质，不构成重大环境风险源，</w:t>
            </w:r>
            <w:r>
              <w:rPr>
                <w:rFonts w:hint="default"/>
              </w:rPr>
              <w:t>本项目环境风险评价工作等级为简单</w:t>
            </w:r>
            <w:r>
              <w:rPr>
                <w:rFonts w:hint="eastAsia"/>
                <w:lang w:val="en-US" w:eastAsia="zh-CN"/>
              </w:rPr>
              <w:t>分析。</w:t>
            </w:r>
          </w:p>
          <w:p>
            <w:pPr>
              <w:pStyle w:val="65"/>
              <w:numPr>
                <w:ilvl w:val="3"/>
                <w:numId w:val="0"/>
              </w:numPr>
              <w:snapToGrid w:val="0"/>
              <w:ind w:firstLine="480" w:firstLineChars="200"/>
              <w:outlineLvl w:val="9"/>
              <w:rPr>
                <w:rFonts w:hint="default" w:ascii="Times New Roman" w:hAnsi="Times New Roman" w:cs="Times New Roman"/>
                <w:bCs w:val="0"/>
                <w:szCs w:val="24"/>
              </w:rPr>
            </w:pPr>
            <w:r>
              <w:rPr>
                <w:rFonts w:hint="eastAsia" w:ascii="Times New Roman" w:hAnsi="Times New Roman" w:cs="Times New Roman"/>
                <w:bCs w:val="0"/>
                <w:szCs w:val="24"/>
                <w:lang w:val="en-US" w:eastAsia="zh-CN"/>
              </w:rPr>
              <w:t>7.3</w:t>
            </w:r>
            <w:r>
              <w:rPr>
                <w:rFonts w:hint="default" w:ascii="Times New Roman" w:hAnsi="Times New Roman" w:cs="Times New Roman"/>
                <w:bCs w:val="0"/>
                <w:szCs w:val="24"/>
              </w:rPr>
              <w:t>环境风险防范措施</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根据建设项目环境风险分析的结果，对建设项目进行风险管理，采取有关的风险防范措施以降低事故的发生概率，建立事故应急预案以减轻事故的危害后果，尽最大可能地降低项目的环境风险。</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①</w:t>
            </w:r>
            <w:r>
              <w:rPr>
                <w:rFonts w:hint="eastAsia" w:ascii="Times New Roman" w:hAnsi="Times New Roman" w:eastAsia="宋体" w:cs="Times New Roman"/>
                <w:color w:val="auto"/>
                <w:lang w:eastAsia="zh-CN"/>
              </w:rPr>
              <w:t>加强火灾报警系统的保养维护工作，加强设备检验和日常巡查的点检工作；</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②</w:t>
            </w:r>
            <w:r>
              <w:rPr>
                <w:rFonts w:hint="eastAsia" w:ascii="Times New Roman" w:hAnsi="Times New Roman" w:eastAsia="宋体" w:cs="Times New Roman"/>
                <w:color w:val="auto"/>
                <w:lang w:eastAsia="zh-CN"/>
              </w:rPr>
              <w:t>加强对厂区</w:t>
            </w:r>
            <w:r>
              <w:rPr>
                <w:rFonts w:hint="eastAsia" w:cs="Times New Roman"/>
                <w:color w:val="auto"/>
                <w:lang w:eastAsia="zh-CN"/>
              </w:rPr>
              <w:t>原料仓库和成品仓库</w:t>
            </w:r>
            <w:r>
              <w:rPr>
                <w:rFonts w:hint="eastAsia" w:ascii="Times New Roman" w:hAnsi="Times New Roman" w:eastAsia="宋体" w:cs="Times New Roman"/>
                <w:color w:val="auto"/>
                <w:lang w:eastAsia="zh-CN"/>
              </w:rPr>
              <w:t>的火灾安全隐患巡逻检查；</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③</w:t>
            </w:r>
            <w:r>
              <w:rPr>
                <w:rFonts w:hint="eastAsia" w:ascii="Times New Roman" w:hAnsi="Times New Roman" w:eastAsia="宋体" w:cs="Times New Roman"/>
                <w:color w:val="auto"/>
                <w:lang w:eastAsia="zh-CN"/>
              </w:rPr>
              <w:t>加强对全体职工的安全和技术的定期培训，在项目进行的各个环节均采取有效的安全监控措施，使出现事故的概率降至最低；</w:t>
            </w:r>
          </w:p>
          <w:p>
            <w:pPr>
              <w:ind w:firstLine="48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val="en-US" w:eastAsia="zh-CN"/>
              </w:rPr>
              <w:t>④</w:t>
            </w:r>
            <w:r>
              <w:rPr>
                <w:rFonts w:hint="eastAsia" w:ascii="Times New Roman" w:hAnsi="Times New Roman" w:eastAsia="宋体" w:cs="Times New Roman"/>
                <w:color w:val="auto"/>
                <w:lang w:eastAsia="zh-CN"/>
              </w:rPr>
              <w:t>各项应急处理器材与设施（如灭火器、雨水排口事故截断阀、防护设备等）定期巡检，保证处于完好可利用状态；</w:t>
            </w:r>
          </w:p>
          <w:p>
            <w:pPr>
              <w:ind w:firstLine="480"/>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auto"/>
                <w:lang w:val="en-US" w:eastAsia="zh-CN"/>
              </w:rPr>
              <w:t>⑤</w:t>
            </w:r>
            <w:r>
              <w:rPr>
                <w:rFonts w:hint="eastAsia" w:ascii="Times New Roman" w:hAnsi="Times New Roman" w:eastAsia="宋体" w:cs="Times New Roman"/>
                <w:color w:val="auto"/>
                <w:lang w:eastAsia="zh-CN"/>
              </w:rPr>
              <w:t>规范设置专用存储区，经常检查，发现变化及时调整，原料储存在阴凉、通风、干燥处，防止日晒，隔绝火种及热源，电气设备采用防爆防产生火花型，开关在外，配备必须的</w:t>
            </w:r>
            <w:r>
              <w:rPr>
                <w:rFonts w:hint="eastAsia" w:ascii="Times New Roman" w:hAnsi="Times New Roman" w:eastAsia="宋体" w:cs="Times New Roman"/>
                <w:color w:val="000000" w:themeColor="text1"/>
                <w:lang w:eastAsia="zh-CN"/>
                <w14:textFill>
                  <w14:solidFill>
                    <w14:schemeClr w14:val="tx1"/>
                  </w14:solidFill>
                </w14:textFill>
              </w:rPr>
              <w:t>灭火防火器具，库房门应采用外开式；</w:t>
            </w:r>
          </w:p>
          <w:p>
            <w:pPr>
              <w:ind w:firstLine="48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7.4应急预案</w:t>
            </w:r>
          </w:p>
          <w:p>
            <w:pPr>
              <w:ind w:firstLine="48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为提高突发事件的预警和应急处置能力，保障厂区事故发生后，参与救援的人员都有具体分工，并能够迅速、准确、高效地开展抢险救援工作，最大限度地减低事故造成的人员伤亡、财产损失和社会影响，应组建危险事故应急救援工作领导小组，全面负责整个厂区危险事故的应急救援组织工作。应急救援领导小组最高指挥机构是应急指挥部，指挥部下设各个救援小组。</w:t>
            </w:r>
          </w:p>
          <w:p>
            <w:pPr>
              <w:ind w:firstLine="480"/>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具体应急预案内容见表4-1</w:t>
            </w:r>
            <w:r>
              <w:rPr>
                <w:rFonts w:hint="eastAsia" w:cs="Times New Roman"/>
                <w:color w:val="auto"/>
                <w:lang w:val="en-US" w:eastAsia="zh-CN"/>
              </w:rPr>
              <w:t>6</w:t>
            </w:r>
            <w:r>
              <w:rPr>
                <w:rFonts w:hint="eastAsia" w:ascii="Times New Roman" w:hAnsi="Times New Roman" w:eastAsia="宋体" w:cs="Times New Roman"/>
                <w:color w:val="auto"/>
                <w:lang w:val="en-US" w:eastAsia="zh-CN"/>
              </w:rPr>
              <w:t>。</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表</w:t>
            </w:r>
            <w:r>
              <w:rPr>
                <w:rFonts w:hint="eastAsia" w:ascii="Times New Roman" w:hAnsi="Times New Roman" w:eastAsia="宋体" w:cs="Times New Roman"/>
                <w:b/>
                <w:bCs/>
                <w:color w:val="auto"/>
                <w:sz w:val="21"/>
                <w:szCs w:val="18"/>
                <w:lang w:val="en-US" w:eastAsia="zh-CN"/>
              </w:rPr>
              <w:t>4-1</w:t>
            </w:r>
            <w:r>
              <w:rPr>
                <w:rFonts w:hint="eastAsia" w:cs="Times New Roman"/>
                <w:b/>
                <w:bCs/>
                <w:color w:val="auto"/>
                <w:sz w:val="21"/>
                <w:szCs w:val="18"/>
                <w:lang w:val="en-US" w:eastAsia="zh-CN"/>
              </w:rPr>
              <w:t>6</w:t>
            </w:r>
            <w:r>
              <w:rPr>
                <w:rFonts w:hint="default" w:ascii="Times New Roman" w:hAnsi="Times New Roman" w:eastAsia="宋体" w:cs="Times New Roman"/>
                <w:b/>
                <w:bCs/>
                <w:color w:val="auto"/>
                <w:sz w:val="21"/>
                <w:szCs w:val="18"/>
              </w:rPr>
              <w:t xml:space="preserve">  应急预案内容</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030"/>
              <w:gridCol w:w="7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序号</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项目</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bCs/>
                      <w:color w:val="auto"/>
                      <w:sz w:val="21"/>
                      <w:szCs w:val="18"/>
                    </w:rPr>
                  </w:pPr>
                  <w:r>
                    <w:rPr>
                      <w:rFonts w:hint="default" w:ascii="Times New Roman" w:hAnsi="Times New Roman" w:eastAsia="宋体" w:cs="Times New Roman"/>
                      <w:b/>
                      <w:bCs/>
                      <w:color w:val="auto"/>
                      <w:sz w:val="21"/>
                      <w:szCs w:val="18"/>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总则</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明确编制目的、编制依据、适用范围、工作原则等。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2</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危险源概况</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环境风险源基本情况、周边环境状况及环境保护目标调查结果。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3</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应急计划区</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危险目标：各生产区、储存区、环境保护目标等。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4</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组织机构及职责</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依据企业的规模大小和突发环境事件危害程度的级别，设置分级应急救援的组织机构。并明确各组及人员职责。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5</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预防与预警</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明确事件预警的条件、方式、方法。报警、通讯联络方式等。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6</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信息报告与通报</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明确信息报告时限和发布的程序、内容和方式。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7</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应急响应与措施</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规定预案的级别和相应的分级响应程序，明确应急措施、应急监测相关内容、应急终止响应条件等，并考虑与区域应急预案的衔接。一级—装置区；二级—全厂；三级—社会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8</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应急救援保障</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应急设施、设备与器材等生产装置：</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（1）防火灾、爆炸事故应急设施、设备与材料，主要为消防器材</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（2）防有毒有害物质外溢、扩散、主要靠吸收吸附材料</w:t>
                  </w:r>
                </w:p>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（3）防火灾、爆炸事故应急设施、设备与材料，主要为消防器材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9</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后期处置</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明确受灾人员的安置及损失赔偿。组织专家对突发环境事件中长期环境影响进行评估，明确修复方案。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10</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应急培训和演练</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对工厂及临近地区开展公众教育、培训和发布有关信息。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11</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奖惩</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明确突发环境事件应急救援工作中奖励和处罚的条件和内容。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12</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保障措施</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明确应急专项经费、应急救援需要使用的应急物资及装备、应急队伍的组成、通信与信息保障等内容。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13</w:t>
                  </w:r>
                </w:p>
              </w:tc>
              <w:tc>
                <w:tcPr>
                  <w:tcW w:w="2030"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 xml:space="preserve">附件 </w:t>
                  </w:r>
                </w:p>
              </w:tc>
              <w:tc>
                <w:tcPr>
                  <w:tcW w:w="7211" w:type="dxa"/>
                  <w:noWrap w:val="0"/>
                  <w:vAlign w:val="center"/>
                </w:tcPr>
                <w:p>
                  <w:pPr>
                    <w:keepNext/>
                    <w:keepLines/>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auto"/>
                      <w:sz w:val="21"/>
                      <w:szCs w:val="18"/>
                    </w:rPr>
                  </w:pPr>
                  <w:r>
                    <w:rPr>
                      <w:rFonts w:hint="default" w:ascii="Times New Roman" w:hAnsi="Times New Roman" w:eastAsia="宋体" w:cs="Times New Roman"/>
                      <w:b w:val="0"/>
                      <w:bCs w:val="0"/>
                      <w:color w:val="auto"/>
                      <w:sz w:val="21"/>
                      <w:szCs w:val="18"/>
                    </w:rPr>
                    <w:t>与应急事故有关的多种附件材料的准备和形成。</w:t>
                  </w:r>
                </w:p>
              </w:tc>
            </w:tr>
          </w:tbl>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val="0"/>
                <w:bCs/>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color w:val="000000" w:themeColor="text1"/>
                <w:sz w:val="24"/>
                <w14:textFill>
                  <w14:solidFill>
                    <w14:schemeClr w14:val="tx1"/>
                  </w14:solidFill>
                </w14:textFill>
              </w:rPr>
              <w:t>排污口规范化设置</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根据国家、地方颁布的有关环境保护规定，烟囱（排气筒）、厂区废水总排放口、噪声排放源和</w:t>
            </w:r>
            <w:r>
              <w:rPr>
                <w:rFonts w:hint="default" w:ascii="Times New Roman" w:hAnsi="Times New Roman" w:eastAsia="宋体" w:cs="Times New Roman"/>
                <w:color w:val="000000" w:themeColor="text1"/>
                <w:sz w:val="24"/>
                <w:lang w:eastAsia="zh-CN"/>
                <w14:textFill>
                  <w14:solidFill>
                    <w14:schemeClr w14:val="tx1"/>
                  </w14:solidFill>
                </w14:textFill>
              </w:rPr>
              <w:t>固废</w:t>
            </w:r>
            <w:r>
              <w:rPr>
                <w:rFonts w:hint="default" w:ascii="Times New Roman" w:hAnsi="Times New Roman" w:eastAsia="宋体" w:cs="Times New Roman"/>
                <w:color w:val="000000" w:themeColor="text1"/>
                <w:sz w:val="24"/>
                <w14:textFill>
                  <w14:solidFill>
                    <w14:schemeClr w14:val="tx1"/>
                  </w14:solidFill>
                </w14:textFill>
              </w:rPr>
              <w:t>贮存处置场所均应按《环境保护图形标志排放口（源）》（GB15562.1-1995、GB15562.2-1995）要求设立明显标志，具体标识见</w:t>
            </w:r>
            <w:r>
              <w:rPr>
                <w:rFonts w:hint="default" w:ascii="Times New Roman" w:hAnsi="Times New Roman" w:eastAsia="宋体" w:cs="Times New Roman"/>
                <w:color w:val="000000" w:themeColor="text1"/>
                <w:sz w:val="24"/>
                <w:lang w:eastAsia="zh-CN"/>
                <w14:textFill>
                  <w14:solidFill>
                    <w14:schemeClr w14:val="tx1"/>
                  </w14:solidFill>
                </w14:textFill>
              </w:rPr>
              <w:t>下</w:t>
            </w:r>
            <w:r>
              <w:rPr>
                <w:rFonts w:hint="default" w:ascii="Times New Roman" w:hAnsi="Times New Roman" w:eastAsia="宋体" w:cs="Times New Roman"/>
                <w:color w:val="000000" w:themeColor="text1"/>
                <w:sz w:val="24"/>
                <w14:textFill>
                  <w14:solidFill>
                    <w14:schemeClr w14:val="tx1"/>
                  </w14:solidFill>
                </w14:textFill>
              </w:rPr>
              <w:t>表。</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4-</w:t>
            </w:r>
            <w:r>
              <w:rPr>
                <w:rFonts w:hint="eastAsia" w:cs="Times New Roman"/>
                <w:b/>
                <w:color w:val="000000" w:themeColor="text1"/>
                <w:sz w:val="21"/>
                <w:szCs w:val="21"/>
                <w:lang w:val="en-US" w:eastAsia="zh-CN"/>
                <w14:textFill>
                  <w14:solidFill>
                    <w14:schemeClr w14:val="tx1"/>
                  </w14:solidFill>
                </w14:textFill>
              </w:rPr>
              <w:t>17</w:t>
            </w:r>
            <w:r>
              <w:rPr>
                <w:rFonts w:hint="default" w:ascii="Times New Roman" w:hAnsi="Times New Roman" w:eastAsia="宋体" w:cs="Times New Roman"/>
                <w:b/>
                <w:color w:val="000000" w:themeColor="text1"/>
                <w:sz w:val="21"/>
                <w:szCs w:val="21"/>
                <w14:textFill>
                  <w14:solidFill>
                    <w14:schemeClr w14:val="tx1"/>
                  </w14:solidFill>
                </w14:textFill>
              </w:rPr>
              <w:t xml:space="preserve">  环境保护图形标志的形状及颜色表</w:t>
            </w:r>
          </w:p>
          <w:tbl>
            <w:tblPr>
              <w:tblStyle w:val="8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9"/>
              <w:gridCol w:w="2371"/>
              <w:gridCol w:w="2369"/>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3" w:hRule="atLeast"/>
                <w:jc w:val="center"/>
              </w:trPr>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标志名称</w:t>
                  </w:r>
                </w:p>
              </w:tc>
              <w:tc>
                <w:tcPr>
                  <w:tcW w:w="1250"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形状</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背景颜色</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图形颜色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警告标志</w:t>
                  </w:r>
                </w:p>
              </w:tc>
              <w:tc>
                <w:tcPr>
                  <w:tcW w:w="1250"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三角形边框</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黄色</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 w:hRule="atLeast"/>
                <w:jc w:val="center"/>
              </w:trPr>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提示标志</w:t>
                  </w:r>
                </w:p>
              </w:tc>
              <w:tc>
                <w:tcPr>
                  <w:tcW w:w="1250"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正方形边框</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绿色</w:t>
                  </w:r>
                </w:p>
              </w:tc>
              <w:tc>
                <w:tcPr>
                  <w:tcW w:w="1249" w:type="pct"/>
                  <w:noWrap w:val="0"/>
                  <w:vAlign w:val="center"/>
                </w:tcPr>
                <w:p>
                  <w:pPr>
                    <w:adjustRightInd w:val="0"/>
                    <w:snapToGrid w:val="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白色</w:t>
                  </w:r>
                </w:p>
              </w:tc>
            </w:tr>
          </w:tbl>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4-</w:t>
            </w:r>
            <w:r>
              <w:rPr>
                <w:rFonts w:hint="eastAsia" w:cs="Times New Roman"/>
                <w:b/>
                <w:color w:val="000000" w:themeColor="text1"/>
                <w:sz w:val="21"/>
                <w:szCs w:val="21"/>
                <w:lang w:val="en-US" w:eastAsia="zh-CN"/>
                <w14:textFill>
                  <w14:solidFill>
                    <w14:schemeClr w14:val="tx1"/>
                  </w14:solidFill>
                </w14:textFill>
              </w:rPr>
              <w:t>18</w:t>
            </w:r>
            <w:r>
              <w:rPr>
                <w:rFonts w:hint="default" w:ascii="Times New Roman" w:hAnsi="Times New Roman" w:eastAsia="宋体" w:cs="Times New Roman"/>
                <w:b/>
                <w:color w:val="000000" w:themeColor="text1"/>
                <w:sz w:val="21"/>
                <w:szCs w:val="21"/>
                <w14:textFill>
                  <w14:solidFill>
                    <w14:schemeClr w14:val="tx1"/>
                  </w14:solidFill>
                </w14:textFill>
              </w:rPr>
              <w:t xml:space="preserve">  环境保护图形符号一览表</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961"/>
              <w:gridCol w:w="2085"/>
              <w:gridCol w:w="1482"/>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453"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序号</w:t>
                  </w:r>
                </w:p>
              </w:tc>
              <w:tc>
                <w:tcPr>
                  <w:tcW w:w="1034"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提示图形符号</w:t>
                  </w:r>
                </w:p>
              </w:tc>
              <w:tc>
                <w:tcPr>
                  <w:tcW w:w="1099"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警告图形符号</w:t>
                  </w:r>
                </w:p>
              </w:tc>
              <w:tc>
                <w:tcPr>
                  <w:tcW w:w="781"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名称</w:t>
                  </w:r>
                </w:p>
              </w:tc>
              <w:tc>
                <w:tcPr>
                  <w:tcW w:w="1630"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034"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drawing>
                      <wp:inline distT="0" distB="0" distL="114300" distR="114300">
                        <wp:extent cx="552450" cy="552450"/>
                        <wp:effectExtent l="0" t="0" r="0" b="0"/>
                        <wp:docPr id="4" name="图片 3" descr="13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3001"/>
                                <pic:cNvPicPr>
                                  <a:picLocks noChangeAspect="1"/>
                                </pic:cNvPicPr>
                              </pic:nvPicPr>
                              <pic:blipFill>
                                <a:blip r:embed="rId26"/>
                                <a:stretch>
                                  <a:fillRect/>
                                </a:stretch>
                              </pic:blipFill>
                              <pic:spPr>
                                <a:xfrm>
                                  <a:off x="0" y="0"/>
                                  <a:ext cx="552450" cy="552450"/>
                                </a:xfrm>
                                <a:prstGeom prst="rect">
                                  <a:avLst/>
                                </a:prstGeom>
                                <a:noFill/>
                                <a:ln>
                                  <a:noFill/>
                                </a:ln>
                              </pic:spPr>
                            </pic:pic>
                          </a:graphicData>
                        </a:graphic>
                      </wp:inline>
                    </w:drawing>
                  </w:r>
                </w:p>
              </w:tc>
              <w:tc>
                <w:tcPr>
                  <w:tcW w:w="1099"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drawing>
                      <wp:inline distT="0" distB="0" distL="114300" distR="114300">
                        <wp:extent cx="666750" cy="666750"/>
                        <wp:effectExtent l="0" t="0" r="0" b="0"/>
                        <wp:docPr id="5" name="图片 4" descr="1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3002"/>
                                <pic:cNvPicPr>
                                  <a:picLocks noChangeAspect="1"/>
                                </pic:cNvPicPr>
                              </pic:nvPicPr>
                              <pic:blipFill>
                                <a:blip r:embed="rId27"/>
                                <a:stretch>
                                  <a:fillRect/>
                                </a:stretch>
                              </pic:blipFill>
                              <pic:spPr>
                                <a:xfrm>
                                  <a:off x="0" y="0"/>
                                  <a:ext cx="666750" cy="666750"/>
                                </a:xfrm>
                                <a:prstGeom prst="rect">
                                  <a:avLst/>
                                </a:prstGeom>
                                <a:noFill/>
                                <a:ln>
                                  <a:noFill/>
                                </a:ln>
                              </pic:spPr>
                            </pic:pic>
                          </a:graphicData>
                        </a:graphic>
                      </wp:inline>
                    </w:drawing>
                  </w:r>
                </w:p>
              </w:tc>
              <w:tc>
                <w:tcPr>
                  <w:tcW w:w="781"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废水排放口</w:t>
                  </w:r>
                </w:p>
              </w:tc>
              <w:tc>
                <w:tcPr>
                  <w:tcW w:w="1630"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表示废水向水体排放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034"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drawing>
                      <wp:inline distT="0" distB="0" distL="114300" distR="114300">
                        <wp:extent cx="561975" cy="571500"/>
                        <wp:effectExtent l="0" t="0" r="9525" b="0"/>
                        <wp:docPr id="6" name="图片 5" descr="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14001"/>
                                <pic:cNvPicPr>
                                  <a:picLocks noChangeAspect="1"/>
                                </pic:cNvPicPr>
                              </pic:nvPicPr>
                              <pic:blipFill>
                                <a:blip r:embed="rId28"/>
                                <a:stretch>
                                  <a:fillRect/>
                                </a:stretch>
                              </pic:blipFill>
                              <pic:spPr>
                                <a:xfrm>
                                  <a:off x="0" y="0"/>
                                  <a:ext cx="561975" cy="571500"/>
                                </a:xfrm>
                                <a:prstGeom prst="rect">
                                  <a:avLst/>
                                </a:prstGeom>
                                <a:noFill/>
                                <a:ln>
                                  <a:noFill/>
                                </a:ln>
                              </pic:spPr>
                            </pic:pic>
                          </a:graphicData>
                        </a:graphic>
                      </wp:inline>
                    </w:drawing>
                  </w:r>
                </w:p>
              </w:tc>
              <w:tc>
                <w:tcPr>
                  <w:tcW w:w="1099"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drawing>
                      <wp:inline distT="0" distB="0" distL="114300" distR="114300">
                        <wp:extent cx="714375" cy="666750"/>
                        <wp:effectExtent l="0" t="0" r="9525" b="0"/>
                        <wp:docPr id="7" name="图片 6" descr="14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14002"/>
                                <pic:cNvPicPr>
                                  <a:picLocks noChangeAspect="1"/>
                                </pic:cNvPicPr>
                              </pic:nvPicPr>
                              <pic:blipFill>
                                <a:blip r:embed="rId29"/>
                                <a:stretch>
                                  <a:fillRect/>
                                </a:stretch>
                              </pic:blipFill>
                              <pic:spPr>
                                <a:xfrm>
                                  <a:off x="0" y="0"/>
                                  <a:ext cx="714375" cy="666750"/>
                                </a:xfrm>
                                <a:prstGeom prst="rect">
                                  <a:avLst/>
                                </a:prstGeom>
                                <a:noFill/>
                                <a:ln>
                                  <a:noFill/>
                                </a:ln>
                              </pic:spPr>
                            </pic:pic>
                          </a:graphicData>
                        </a:graphic>
                      </wp:inline>
                    </w:drawing>
                  </w:r>
                </w:p>
              </w:tc>
              <w:tc>
                <w:tcPr>
                  <w:tcW w:w="781"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一般固体废物</w:t>
                  </w:r>
                </w:p>
              </w:tc>
              <w:tc>
                <w:tcPr>
                  <w:tcW w:w="1630"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表示一般固体废物贮存、处置场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1034"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drawing>
                      <wp:inline distT="0" distB="0" distL="114300" distR="114300">
                        <wp:extent cx="590550" cy="590550"/>
                        <wp:effectExtent l="0" t="0" r="0" b="0"/>
                        <wp:docPr id="10" name="图片 7"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image011"/>
                                <pic:cNvPicPr>
                                  <a:picLocks noChangeAspect="1"/>
                                </pic:cNvPicPr>
                              </pic:nvPicPr>
                              <pic:blipFill>
                                <a:blip r:embed="rId30"/>
                                <a:stretch>
                                  <a:fillRect/>
                                </a:stretch>
                              </pic:blipFill>
                              <pic:spPr>
                                <a:xfrm>
                                  <a:off x="0" y="0"/>
                                  <a:ext cx="590550" cy="590550"/>
                                </a:xfrm>
                                <a:prstGeom prst="rect">
                                  <a:avLst/>
                                </a:prstGeom>
                                <a:noFill/>
                                <a:ln>
                                  <a:noFill/>
                                </a:ln>
                              </pic:spPr>
                            </pic:pic>
                          </a:graphicData>
                        </a:graphic>
                      </wp:inline>
                    </w:drawing>
                  </w:r>
                </w:p>
              </w:tc>
              <w:tc>
                <w:tcPr>
                  <w:tcW w:w="1099"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drawing>
                      <wp:inline distT="0" distB="0" distL="114300" distR="114300">
                        <wp:extent cx="781050" cy="685800"/>
                        <wp:effectExtent l="0" t="0" r="0" b="0"/>
                        <wp:docPr id="11" name="图片 8" descr="image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age012"/>
                                <pic:cNvPicPr>
                                  <a:picLocks noChangeAspect="1"/>
                                </pic:cNvPicPr>
                              </pic:nvPicPr>
                              <pic:blipFill>
                                <a:blip r:embed="rId31"/>
                                <a:stretch>
                                  <a:fillRect/>
                                </a:stretch>
                              </pic:blipFill>
                              <pic:spPr>
                                <a:xfrm>
                                  <a:off x="0" y="0"/>
                                  <a:ext cx="781050" cy="685800"/>
                                </a:xfrm>
                                <a:prstGeom prst="rect">
                                  <a:avLst/>
                                </a:prstGeom>
                                <a:noFill/>
                                <a:ln>
                                  <a:noFill/>
                                </a:ln>
                              </pic:spPr>
                            </pic:pic>
                          </a:graphicData>
                        </a:graphic>
                      </wp:inline>
                    </w:drawing>
                  </w:r>
                </w:p>
              </w:tc>
              <w:tc>
                <w:tcPr>
                  <w:tcW w:w="781"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噪声排放源</w:t>
                  </w:r>
                </w:p>
              </w:tc>
              <w:tc>
                <w:tcPr>
                  <w:tcW w:w="1630" w:type="pct"/>
                  <w:noWrap w:val="0"/>
                  <w:vAlign w:val="center"/>
                </w:tcPr>
                <w:p>
                  <w:pPr>
                    <w:keepNext w:val="0"/>
                    <w:keepLines w:val="0"/>
                    <w:pageBreakBefore w:val="0"/>
                    <w:kinsoku/>
                    <w:wordWrap/>
                    <w:overflowPunct/>
                    <w:topLinePunct w:val="0"/>
                    <w:autoSpaceDE/>
                    <w:autoSpaceDN/>
                    <w:bidi w:val="0"/>
                    <w:adjustRightInd/>
                    <w:spacing w:beforeAutospacing="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表示噪声向外环境排放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453"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5</w:t>
                  </w:r>
                </w:p>
              </w:tc>
              <w:tc>
                <w:tcPr>
                  <w:tcW w:w="1034"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099" w:type="pct"/>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drawing>
                      <wp:inline distT="0" distB="0" distL="114300" distR="114300">
                        <wp:extent cx="956310" cy="841375"/>
                        <wp:effectExtent l="0" t="0" r="15240" b="1587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32"/>
                                <a:stretch>
                                  <a:fillRect/>
                                </a:stretch>
                              </pic:blipFill>
                              <pic:spPr>
                                <a:xfrm>
                                  <a:off x="0" y="0"/>
                                  <a:ext cx="956310" cy="841375"/>
                                </a:xfrm>
                                <a:prstGeom prst="rect">
                                  <a:avLst/>
                                </a:prstGeom>
                                <a:noFill/>
                                <a:ln>
                                  <a:noFill/>
                                </a:ln>
                              </pic:spPr>
                            </pic:pic>
                          </a:graphicData>
                        </a:graphic>
                      </wp:inline>
                    </w:drawing>
                  </w:r>
                </w:p>
              </w:tc>
              <w:tc>
                <w:tcPr>
                  <w:tcW w:w="781" w:type="pct"/>
                  <w:noWrap w:val="0"/>
                  <w:vAlign w:val="center"/>
                </w:tcPr>
                <w:p>
                  <w:pPr>
                    <w:pStyle w:val="17"/>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14:textFill>
                        <w14:solidFill>
                          <w14:schemeClr w14:val="tx1"/>
                        </w14:solidFill>
                      </w14:textFill>
                    </w:rPr>
                    <w:t>危险废物</w:t>
                  </w:r>
                </w:p>
              </w:tc>
              <w:tc>
                <w:tcPr>
                  <w:tcW w:w="1630" w:type="pct"/>
                  <w:noWrap w:val="0"/>
                  <w:vAlign w:val="center"/>
                </w:tcPr>
                <w:p>
                  <w:pPr>
                    <w:pStyle w:val="17"/>
                    <w:keepNext w:val="0"/>
                    <w:keepLines w:val="0"/>
                    <w:pageBreakBefore w:val="0"/>
                    <w:kinsoku/>
                    <w:wordWrap/>
                    <w:overflowPunct/>
                    <w:topLinePunct w:val="0"/>
                    <w:autoSpaceDE/>
                    <w:autoSpaceDN/>
                    <w:bidi w:val="0"/>
                    <w:adjustRightInd/>
                    <w:snapToGrid w:val="0"/>
                    <w:spacing w:before="0" w:beforeAutospacing="0" w:after="0" w:afterAutospacing="0" w:line="240" w:lineRule="auto"/>
                    <w:ind w:firstLine="0" w:firstLineChars="0"/>
                    <w:jc w:val="center"/>
                    <w:textAlignment w:val="auto"/>
                    <w:rPr>
                      <w:rFonts w:hint="default" w:ascii="Times New Roman" w:hAnsi="Times New Roman" w:eastAsia="宋体" w:cs="Times New Roman"/>
                      <w:bCs/>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14:textFill>
                        <w14:solidFill>
                          <w14:schemeClr w14:val="tx1"/>
                        </w14:solidFill>
                      </w14:textFill>
                    </w:rPr>
                    <w:t>表示危险废物贮存、处置场</w:t>
                  </w:r>
                </w:p>
              </w:tc>
            </w:tr>
          </w:tbl>
          <w:p>
            <w:pPr>
              <w:pStyle w:val="11"/>
              <w:numPr>
                <w:ilvl w:val="0"/>
                <w:numId w:val="0"/>
              </w:numPr>
              <w:adjustRightInd w:val="0"/>
              <w:snapToGrid w:val="0"/>
              <w:rPr>
                <w:rFonts w:hint="eastAsia" w:ascii="Times New Roman" w:hAnsi="Times New Roman" w:cs="Times New Roman"/>
                <w:color w:val="000000" w:themeColor="text1"/>
                <w:szCs w:val="24"/>
                <w:lang w:val="en-US" w:eastAsia="zh-CN"/>
                <w14:textFill>
                  <w14:solidFill>
                    <w14:schemeClr w14:val="tx1"/>
                  </w14:solidFill>
                </w14:textFill>
              </w:rPr>
            </w:pPr>
          </w:p>
        </w:tc>
      </w:tr>
    </w:tbl>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p>
    <w:p>
      <w:pPr>
        <w:pStyle w:val="17"/>
        <w:ind w:firstLine="600"/>
        <w:jc w:val="center"/>
        <w:outlineLvl w:val="0"/>
        <w:rPr>
          <w:rFonts w:hint="default" w:ascii="Times New Roman" w:hAnsi="Times New Roman" w:eastAsia="黑体" w:cs="Times New Roman"/>
          <w:snapToGrid w:val="0"/>
          <w:sz w:val="30"/>
          <w:szCs w:val="30"/>
        </w:rPr>
      </w:pPr>
      <w:r>
        <w:rPr>
          <w:rFonts w:hint="default" w:ascii="Times New Roman" w:hAnsi="Times New Roman" w:eastAsia="黑体" w:cs="Times New Roman"/>
          <w:snapToGrid w:val="0"/>
          <w:sz w:val="30"/>
          <w:szCs w:val="30"/>
        </w:rPr>
        <w:t>五、</w:t>
      </w:r>
      <w:bookmarkStart w:id="28" w:name="_Hlk54167917"/>
      <w:r>
        <w:rPr>
          <w:rFonts w:hint="default" w:ascii="Times New Roman" w:hAnsi="Times New Roman" w:eastAsia="黑体" w:cs="Times New Roman"/>
          <w:snapToGrid w:val="0"/>
          <w:sz w:val="30"/>
          <w:szCs w:val="30"/>
        </w:rPr>
        <w:t>环境保护措施监督检查清单</w:t>
      </w:r>
      <w:bookmarkEnd w:id="8"/>
      <w:bookmarkEnd w:id="28"/>
    </w:p>
    <w:tbl>
      <w:tblPr>
        <w:tblStyle w:val="20"/>
        <w:tblW w:w="493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870"/>
        <w:gridCol w:w="870"/>
        <w:gridCol w:w="1207"/>
        <w:gridCol w:w="2471"/>
        <w:gridCol w:w="29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tcBorders>
              <w:tl2br w:val="single" w:color="auto" w:sz="4" w:space="0"/>
            </w:tcBorders>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 xml:space="preserve">     内容         </w:t>
            </w:r>
          </w:p>
          <w:p>
            <w:pPr>
              <w:pageBreakBefore w:val="0"/>
              <w:widowControl w:val="0"/>
              <w:kinsoku/>
              <w:wordWrap/>
              <w:overflowPunct/>
              <w:topLinePunct w:val="0"/>
              <w:autoSpaceDE/>
              <w:autoSpaceDN/>
              <w:bidi w:val="0"/>
              <w:adjustRightInd w:val="0"/>
              <w:snapToGrid w:val="0"/>
              <w:spacing w:line="440" w:lineRule="exact"/>
              <w:ind w:firstLine="0" w:firstLineChars="0"/>
              <w:textAlignment w:val="auto"/>
              <w:rPr>
                <w:rFonts w:hint="default" w:ascii="Times New Roman" w:hAnsi="Times New Roman" w:cs="Times New Roman"/>
              </w:rPr>
            </w:pPr>
            <w:r>
              <w:rPr>
                <w:rFonts w:hint="default" w:ascii="Times New Roman" w:hAnsi="Times New Roman" w:cs="Times New Roman"/>
              </w:rPr>
              <w:t>要素</w:t>
            </w:r>
          </w:p>
        </w:tc>
        <w:tc>
          <w:tcPr>
            <w:tcW w:w="884" w:type="pct"/>
            <w:gridSpan w:val="2"/>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排放口(编号、名称)/污染源</w:t>
            </w:r>
          </w:p>
        </w:tc>
        <w:tc>
          <w:tcPr>
            <w:tcW w:w="613"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污染物项目</w:t>
            </w:r>
          </w:p>
        </w:tc>
        <w:tc>
          <w:tcPr>
            <w:tcW w:w="12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环境保护措施</w:t>
            </w:r>
          </w:p>
        </w:tc>
        <w:tc>
          <w:tcPr>
            <w:tcW w:w="1488"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6" w:type="pct"/>
            <w:vMerge w:val="restar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大气环境</w:t>
            </w:r>
          </w:p>
        </w:tc>
        <w:tc>
          <w:tcPr>
            <w:tcW w:w="442" w:type="pct"/>
            <w:vMerge w:val="restar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ascii="Times New Roman" w:hAnsi="Times New Roman" w:eastAsia="宋体" w:cs="Times New Roman"/>
                <w:lang w:eastAsia="zh-CN"/>
              </w:rPr>
            </w:pPr>
            <w:r>
              <w:rPr>
                <w:rFonts w:hint="eastAsia" w:cs="Times New Roman"/>
                <w:lang w:eastAsia="zh-CN"/>
              </w:rPr>
              <w:t>有组织</w:t>
            </w:r>
          </w:p>
        </w:tc>
        <w:tc>
          <w:tcPr>
            <w:tcW w:w="442" w:type="pct"/>
            <w:vMerge w:val="restar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cs="Times New Roman"/>
                <w:lang w:val="en-US" w:eastAsia="zh-CN"/>
              </w:rPr>
            </w:pPr>
            <w:r>
              <w:rPr>
                <w:rFonts w:hint="eastAsia" w:cs="Times New Roman"/>
                <w:lang w:val="en-US" w:eastAsia="zh-CN"/>
              </w:rPr>
              <w:t>DA001</w:t>
            </w:r>
          </w:p>
        </w:tc>
        <w:tc>
          <w:tcPr>
            <w:tcW w:w="613"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宋体" w:cs="Times New Roman"/>
                <w:lang w:val="en-US" w:eastAsia="zh-CN"/>
              </w:rPr>
            </w:pPr>
            <w:r>
              <w:rPr>
                <w:rFonts w:hint="eastAsia" w:cs="Times New Roman"/>
                <w:lang w:val="en-US" w:eastAsia="zh-CN"/>
              </w:rPr>
              <w:t>TSP</w:t>
            </w:r>
          </w:p>
        </w:tc>
        <w:tc>
          <w:tcPr>
            <w:tcW w:w="12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宋体" w:cs="Times New Roman"/>
                <w:lang w:val="en-US" w:eastAsia="zh-CN"/>
              </w:rPr>
            </w:pPr>
            <w:r>
              <w:rPr>
                <w:rFonts w:hint="eastAsia" w:cs="Times New Roman"/>
                <w:lang w:val="en-US" w:eastAsia="zh-CN"/>
              </w:rPr>
              <w:t>布袋收尘器+15m高排气筒（DA001）</w:t>
            </w:r>
          </w:p>
        </w:tc>
        <w:tc>
          <w:tcPr>
            <w:tcW w:w="1488"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《大气污染物综合排放标准》（GB16297-1996）表2中的二级标准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6"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p>
        </w:tc>
        <w:tc>
          <w:tcPr>
            <w:tcW w:w="442"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eastAsia="zh-CN"/>
              </w:rPr>
            </w:pPr>
          </w:p>
        </w:tc>
        <w:tc>
          <w:tcPr>
            <w:tcW w:w="442"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eastAsia="zh-CN"/>
              </w:rPr>
            </w:pPr>
          </w:p>
        </w:tc>
        <w:tc>
          <w:tcPr>
            <w:tcW w:w="613"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val="en-US" w:eastAsia="zh-CN"/>
              </w:rPr>
            </w:pPr>
            <w:r>
              <w:rPr>
                <w:rFonts w:hint="eastAsia" w:cs="Times New Roman"/>
                <w:lang w:val="en-US" w:eastAsia="zh-CN"/>
              </w:rPr>
              <w:t>非甲烷总烃</w:t>
            </w:r>
          </w:p>
        </w:tc>
        <w:tc>
          <w:tcPr>
            <w:tcW w:w="12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cs="Times New Roman"/>
                <w:lang w:val="en-US" w:eastAsia="zh-CN"/>
              </w:rPr>
            </w:pPr>
            <w:r>
              <w:rPr>
                <w:rFonts w:hint="eastAsia" w:cs="Times New Roman"/>
                <w:lang w:val="en-US" w:eastAsia="zh-CN"/>
              </w:rPr>
              <w:t>UV光解+两级活性炭吸附装置+15m高排气筒（DA001）</w:t>
            </w:r>
          </w:p>
        </w:tc>
        <w:tc>
          <w:tcPr>
            <w:tcW w:w="1488"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《挥发性有机物排放标准  第4部分：塑料制品业》（DB36/1101.4-2019)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6"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p>
        </w:tc>
        <w:tc>
          <w:tcPr>
            <w:tcW w:w="884" w:type="pct"/>
            <w:gridSpan w:val="2"/>
            <w:vMerge w:val="restar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eastAsia="zh-CN"/>
              </w:rPr>
            </w:pPr>
            <w:r>
              <w:rPr>
                <w:rFonts w:hint="eastAsia" w:cs="Times New Roman"/>
                <w:lang w:eastAsia="zh-CN"/>
              </w:rPr>
              <w:t>无组织</w:t>
            </w:r>
          </w:p>
        </w:tc>
        <w:tc>
          <w:tcPr>
            <w:tcW w:w="613"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cs="Times New Roman"/>
                <w:lang w:val="en-US" w:eastAsia="zh-CN"/>
              </w:rPr>
            </w:pPr>
            <w:r>
              <w:rPr>
                <w:rFonts w:hint="eastAsia" w:cs="Times New Roman"/>
                <w:lang w:val="en-US" w:eastAsia="zh-CN"/>
              </w:rPr>
              <w:t>TSP</w:t>
            </w:r>
          </w:p>
        </w:tc>
        <w:tc>
          <w:tcPr>
            <w:tcW w:w="1256" w:type="pct"/>
            <w:vMerge w:val="restar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val="en-US" w:eastAsia="zh-CN"/>
              </w:rPr>
            </w:pPr>
            <w:r>
              <w:rPr>
                <w:rFonts w:hint="eastAsia" w:cs="Times New Roman"/>
                <w:lang w:val="en-US" w:eastAsia="zh-CN"/>
              </w:rPr>
              <w:t>加强通风</w:t>
            </w:r>
          </w:p>
        </w:tc>
        <w:tc>
          <w:tcPr>
            <w:tcW w:w="1488"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《大气污染物综合排放标准》（GB16297-1996）表2中的二级标准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6"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p>
        </w:tc>
        <w:tc>
          <w:tcPr>
            <w:tcW w:w="884" w:type="pct"/>
            <w:gridSpan w:val="2"/>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eastAsia="zh-CN"/>
              </w:rPr>
            </w:pPr>
          </w:p>
        </w:tc>
        <w:tc>
          <w:tcPr>
            <w:tcW w:w="613"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val="en-US" w:eastAsia="zh-CN"/>
              </w:rPr>
            </w:pPr>
            <w:r>
              <w:rPr>
                <w:rFonts w:hint="eastAsia" w:cs="Times New Roman"/>
                <w:lang w:val="en-US" w:eastAsia="zh-CN"/>
              </w:rPr>
              <w:t>非甲烷总烃（厂界）</w:t>
            </w:r>
          </w:p>
        </w:tc>
        <w:tc>
          <w:tcPr>
            <w:tcW w:w="1256"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val="en-US" w:eastAsia="zh-CN"/>
              </w:rPr>
            </w:pPr>
          </w:p>
        </w:tc>
        <w:tc>
          <w:tcPr>
            <w:tcW w:w="1488" w:type="pct"/>
            <w:vMerge w:val="restar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《挥发性有机物无组织排放控制标准》（GB37822-2019）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56"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p>
        </w:tc>
        <w:tc>
          <w:tcPr>
            <w:tcW w:w="884" w:type="pct"/>
            <w:gridSpan w:val="2"/>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eastAsia="zh-CN"/>
              </w:rPr>
            </w:pPr>
          </w:p>
        </w:tc>
        <w:tc>
          <w:tcPr>
            <w:tcW w:w="613"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val="en-US" w:eastAsia="zh-CN"/>
              </w:rPr>
            </w:pPr>
            <w:r>
              <w:rPr>
                <w:rFonts w:hint="eastAsia" w:cs="Times New Roman"/>
                <w:lang w:val="en-US" w:eastAsia="zh-CN"/>
              </w:rPr>
              <w:t>非甲烷总烃（车间）</w:t>
            </w:r>
          </w:p>
        </w:tc>
        <w:tc>
          <w:tcPr>
            <w:tcW w:w="1256"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cs="Times New Roman"/>
                <w:lang w:val="en-US" w:eastAsia="zh-CN"/>
              </w:rPr>
            </w:pPr>
          </w:p>
        </w:tc>
        <w:tc>
          <w:tcPr>
            <w:tcW w:w="1488" w:type="pct"/>
            <w:vMerge w:val="continue"/>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地表水环境</w:t>
            </w:r>
          </w:p>
        </w:tc>
        <w:tc>
          <w:tcPr>
            <w:tcW w:w="884" w:type="pct"/>
            <w:gridSpan w:val="2"/>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ascii="Times New Roman" w:hAnsi="Times New Roman" w:eastAsia="宋体" w:cs="Times New Roman"/>
                <w:lang w:eastAsia="zh-CN"/>
              </w:rPr>
            </w:pPr>
            <w:r>
              <w:rPr>
                <w:rFonts w:hint="eastAsia" w:cs="Times New Roman"/>
                <w:lang w:eastAsia="zh-CN"/>
              </w:rPr>
              <w:t>无</w:t>
            </w:r>
          </w:p>
        </w:tc>
        <w:tc>
          <w:tcPr>
            <w:tcW w:w="613"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ascii="Times New Roman" w:hAnsi="Times New Roman" w:eastAsia="宋体" w:cs="Times New Roman"/>
                <w:lang w:eastAsia="zh-CN"/>
              </w:rPr>
            </w:pPr>
            <w:r>
              <w:rPr>
                <w:rFonts w:hint="eastAsia" w:cs="Times New Roman"/>
                <w:lang w:eastAsia="zh-CN"/>
              </w:rPr>
              <w:t>无</w:t>
            </w:r>
          </w:p>
        </w:tc>
        <w:tc>
          <w:tcPr>
            <w:tcW w:w="12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ascii="Times New Roman" w:hAnsi="Times New Roman" w:eastAsia="宋体" w:cs="Times New Roman"/>
                <w:lang w:eastAsia="zh-CN"/>
              </w:rPr>
            </w:pPr>
            <w:r>
              <w:rPr>
                <w:rFonts w:hint="eastAsia" w:cs="Times New Roman"/>
                <w:lang w:eastAsia="zh-CN"/>
              </w:rPr>
              <w:t>无</w:t>
            </w:r>
          </w:p>
        </w:tc>
        <w:tc>
          <w:tcPr>
            <w:tcW w:w="1488"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eastAsia" w:ascii="Times New Roman" w:hAnsi="Times New Roman" w:eastAsia="宋体" w:cs="Times New Roman"/>
                <w:lang w:eastAsia="zh-CN"/>
              </w:rPr>
            </w:pPr>
            <w:r>
              <w:rPr>
                <w:rFonts w:hint="eastAsia" w:cs="Times New Roman"/>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声环境</w:t>
            </w:r>
          </w:p>
        </w:tc>
        <w:tc>
          <w:tcPr>
            <w:tcW w:w="884" w:type="pct"/>
            <w:gridSpan w:val="2"/>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生产车间</w:t>
            </w:r>
          </w:p>
        </w:tc>
        <w:tc>
          <w:tcPr>
            <w:tcW w:w="613"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等效连续A声级</w:t>
            </w:r>
          </w:p>
        </w:tc>
        <w:tc>
          <w:tcPr>
            <w:tcW w:w="12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加强设备的维护</w:t>
            </w:r>
            <w:r>
              <w:rPr>
                <w:rFonts w:hint="eastAsia" w:cs="Times New Roman"/>
                <w:color w:val="000000" w:themeColor="text1"/>
                <w:lang w:eastAsia="zh-CN"/>
                <w14:textFill>
                  <w14:solidFill>
                    <w14:schemeClr w14:val="tx1"/>
                  </w14:solidFill>
                </w14:textFill>
              </w:rPr>
              <w:t>、隔音、减震</w:t>
            </w:r>
            <w:r>
              <w:rPr>
                <w:rFonts w:hint="eastAsia" w:cs="Times New Roman"/>
                <w:color w:val="000000" w:themeColor="text1"/>
                <w:lang w:val="en-US" w:eastAsia="zh-CN"/>
                <w14:textFill>
                  <w14:solidFill>
                    <w14:schemeClr w14:val="tx1"/>
                  </w14:solidFill>
                </w14:textFill>
              </w:rPr>
              <w:t xml:space="preserve"> </w:t>
            </w:r>
          </w:p>
        </w:tc>
        <w:tc>
          <w:tcPr>
            <w:tcW w:w="1488"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pacing w:val="-4"/>
                <w14:textFill>
                  <w14:solidFill>
                    <w14:schemeClr w14:val="tx1"/>
                  </w14:solidFill>
                </w14:textFill>
              </w:rPr>
              <w:t>厂界</w:t>
            </w:r>
            <w:r>
              <w:rPr>
                <w:rFonts w:hint="default" w:ascii="Times New Roman" w:hAnsi="Times New Roman" w:cs="Times New Roman"/>
                <w:color w:val="000000" w:themeColor="text1"/>
                <w14:textFill>
                  <w14:solidFill>
                    <w14:schemeClr w14:val="tx1"/>
                  </w14:solidFill>
                </w14:textFill>
              </w:rPr>
              <w:t>达到《工业企业厂界环境噪声排放标准》（GB12348-2008）中的</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电磁辐射</w:t>
            </w:r>
          </w:p>
        </w:tc>
        <w:tc>
          <w:tcPr>
            <w:tcW w:w="4243" w:type="pct"/>
            <w:gridSpan w:val="5"/>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固体废物</w:t>
            </w:r>
          </w:p>
        </w:tc>
        <w:tc>
          <w:tcPr>
            <w:tcW w:w="4243" w:type="pct"/>
            <w:gridSpan w:val="5"/>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left"/>
              <w:textAlignment w:val="auto"/>
              <w:rPr>
                <w:rFonts w:hint="default"/>
              </w:rPr>
            </w:pPr>
            <w:r>
              <w:rPr>
                <w:rFonts w:hint="default"/>
              </w:rPr>
              <w:t>一般工业固废：暂存在一般工业固废</w:t>
            </w:r>
            <w:r>
              <w:rPr>
                <w:rFonts w:hint="eastAsia"/>
                <w:lang w:eastAsia="zh-CN"/>
              </w:rPr>
              <w:t>暂存间</w:t>
            </w:r>
            <w:r>
              <w:rPr>
                <w:rFonts w:hint="default"/>
                <w:lang w:eastAsia="zh-CN"/>
              </w:rPr>
              <w:t>（</w:t>
            </w:r>
            <w:r>
              <w:rPr>
                <w:rFonts w:hint="eastAsia"/>
                <w:lang w:val="en-US" w:eastAsia="zh-CN"/>
              </w:rPr>
              <w:t>5</w:t>
            </w:r>
            <w:r>
              <w:rPr>
                <w:rFonts w:hint="default"/>
                <w:lang w:val="en-US" w:eastAsia="zh-CN"/>
              </w:rPr>
              <w:t>m</w:t>
            </w:r>
            <w:r>
              <w:rPr>
                <w:rFonts w:hint="default"/>
                <w:vertAlign w:val="superscript"/>
                <w:lang w:val="en-US" w:eastAsia="zh-CN"/>
              </w:rPr>
              <w:t>2</w:t>
            </w:r>
            <w:r>
              <w:rPr>
                <w:rFonts w:hint="default"/>
                <w:lang w:eastAsia="zh-CN"/>
              </w:rPr>
              <w:t>）</w:t>
            </w:r>
            <w:r>
              <w:rPr>
                <w:rFonts w:hint="default"/>
              </w:rPr>
              <w:t>，仓库建设应满足《一般工业固体废物贮存和填埋污染控制标准》（GB18599-2020）相关要求；</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0" w:firstLineChars="0"/>
              <w:textAlignment w:val="auto"/>
              <w:rPr>
                <w:rFonts w:hint="eastAsia"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危险废物：危险废物产生量为</w:t>
            </w:r>
            <w:r>
              <w:rPr>
                <w:rFonts w:hint="eastAsia" w:cs="Times New Roman"/>
                <w:b w:val="0"/>
                <w:bCs w:val="0"/>
                <w:kern w:val="2"/>
                <w:sz w:val="24"/>
                <w:szCs w:val="24"/>
                <w:lang w:val="en-US" w:eastAsia="zh-CN" w:bidi="ar-SA"/>
              </w:rPr>
              <w:t>12.888</w:t>
            </w:r>
            <w:r>
              <w:rPr>
                <w:rFonts w:hint="eastAsia" w:ascii="Times New Roman" w:hAnsi="Times New Roman" w:eastAsia="宋体" w:cs="Times New Roman"/>
                <w:b w:val="0"/>
                <w:bCs w:val="0"/>
                <w:kern w:val="2"/>
                <w:sz w:val="24"/>
                <w:szCs w:val="24"/>
                <w:lang w:val="en-US" w:eastAsia="zh-CN" w:bidi="ar-SA"/>
              </w:rPr>
              <w:t>t/a，暂存在危废</w:t>
            </w:r>
            <w:r>
              <w:rPr>
                <w:rFonts w:hint="eastAsia" w:eastAsia="宋体" w:cs="Times New Roman"/>
                <w:b w:val="0"/>
                <w:bCs w:val="0"/>
                <w:kern w:val="2"/>
                <w:sz w:val="24"/>
                <w:szCs w:val="24"/>
                <w:lang w:val="en-US" w:eastAsia="zh-CN" w:bidi="ar-SA"/>
              </w:rPr>
              <w:t>暂存间</w:t>
            </w:r>
            <w:r>
              <w:rPr>
                <w:rFonts w:hint="eastAsia" w:ascii="Times New Roman" w:hAnsi="Times New Roman" w:eastAsia="宋体" w:cs="Times New Roman"/>
                <w:b w:val="0"/>
                <w:bCs w:val="0"/>
                <w:kern w:val="2"/>
                <w:sz w:val="24"/>
                <w:szCs w:val="24"/>
                <w:lang w:val="en-US" w:eastAsia="zh-CN" w:bidi="ar-SA"/>
              </w:rPr>
              <w:t>（</w:t>
            </w:r>
            <w:r>
              <w:rPr>
                <w:rFonts w:hint="eastAsia" w:cs="Times New Roman"/>
                <w:b w:val="0"/>
                <w:bCs w:val="0"/>
                <w:kern w:val="2"/>
                <w:sz w:val="24"/>
                <w:szCs w:val="24"/>
                <w:lang w:val="en-US" w:eastAsia="zh-CN" w:bidi="ar-SA"/>
              </w:rPr>
              <w:t>2</w:t>
            </w:r>
            <w:r>
              <w:rPr>
                <w:rFonts w:hint="eastAsia" w:ascii="Times New Roman" w:hAnsi="Times New Roman" w:eastAsia="宋体" w:cs="Times New Roman"/>
                <w:b w:val="0"/>
                <w:bCs w:val="0"/>
                <w:kern w:val="2"/>
                <w:sz w:val="24"/>
                <w:szCs w:val="24"/>
                <w:lang w:val="en-US" w:eastAsia="zh-CN" w:bidi="ar-SA"/>
              </w:rPr>
              <w:t>m</w:t>
            </w:r>
            <w:r>
              <w:rPr>
                <w:rFonts w:hint="eastAsia" w:ascii="Times New Roman" w:hAnsi="Times New Roman" w:eastAsia="宋体" w:cs="Times New Roman"/>
                <w:b w:val="0"/>
                <w:bCs w:val="0"/>
                <w:kern w:val="2"/>
                <w:sz w:val="24"/>
                <w:szCs w:val="24"/>
                <w:vertAlign w:val="superscript"/>
                <w:lang w:val="en-US" w:eastAsia="zh-CN" w:bidi="ar-SA"/>
              </w:rPr>
              <w:t>2</w:t>
            </w:r>
            <w:r>
              <w:rPr>
                <w:rFonts w:hint="eastAsia" w:ascii="Times New Roman" w:hAnsi="Times New Roman" w:eastAsia="宋体" w:cs="Times New Roman"/>
                <w:b w:val="0"/>
                <w:bCs w:val="0"/>
                <w:kern w:val="2"/>
                <w:sz w:val="24"/>
                <w:szCs w:val="24"/>
                <w:lang w:val="en-US" w:eastAsia="zh-CN" w:bidi="ar-SA"/>
              </w:rPr>
              <w:t>），危废仓库建设应满足《危险废物贮存污染控制标准》（GB18597-2001）及2013年修改单相关要求；制定危险废物年度管理计划，并进行在线申报备案；建立危险废物台账；</w:t>
            </w:r>
          </w:p>
          <w:p>
            <w:pPr>
              <w:pStyle w:val="4"/>
              <w:keepNext/>
              <w:keepLines/>
              <w:pageBreakBefore w:val="0"/>
              <w:widowControl w:val="0"/>
              <w:kinsoku/>
              <w:wordWrap/>
              <w:overflowPunct/>
              <w:topLinePunct w:val="0"/>
              <w:autoSpaceDE/>
              <w:autoSpaceDN/>
              <w:bidi w:val="0"/>
              <w:adjustRightInd/>
              <w:snapToGrid/>
              <w:spacing w:before="0" w:after="0" w:line="440" w:lineRule="exact"/>
              <w:ind w:firstLine="0" w:firstLineChars="0"/>
              <w:textAlignment w:val="auto"/>
              <w:rPr>
                <w:rFonts w:hint="eastAsia"/>
                <w:lang w:eastAsia="zh-CN"/>
              </w:rPr>
            </w:pPr>
            <w:r>
              <w:rPr>
                <w:rFonts w:hint="eastAsia" w:ascii="Times New Roman" w:hAnsi="Times New Roman" w:eastAsia="宋体" w:cs="Times New Roman"/>
                <w:b w:val="0"/>
                <w:bCs w:val="0"/>
                <w:kern w:val="2"/>
                <w:sz w:val="24"/>
                <w:szCs w:val="24"/>
                <w:lang w:val="en-US" w:eastAsia="zh-CN" w:bidi="ar-SA"/>
              </w:rPr>
              <w:t>生活垃圾：委托当地环卫部门统一清运处置。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土壤及地下水污染防治措施</w:t>
            </w:r>
          </w:p>
        </w:tc>
        <w:tc>
          <w:tcPr>
            <w:tcW w:w="4243" w:type="pct"/>
            <w:gridSpan w:val="5"/>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eastAsia="宋体" w:cs="Times New Roman"/>
                <w:color w:val="000000" w:themeColor="text1"/>
                <w:kern w:val="0"/>
                <w:sz w:val="24"/>
                <w:szCs w:val="24"/>
                <w14:textFill>
                  <w14:solidFill>
                    <w14:schemeClr w14:val="tx1"/>
                  </w14:solidFill>
                </w14:textFill>
              </w:rPr>
              <w:t>进行分区防渗。重点防渗区（</w:t>
            </w:r>
            <w:r>
              <w:rPr>
                <w:rFonts w:hint="eastAsia" w:cs="Times New Roman"/>
                <w:color w:val="000000" w:themeColor="text1"/>
                <w:kern w:val="0"/>
                <w:sz w:val="24"/>
                <w:szCs w:val="24"/>
                <w:lang w:eastAsia="zh-CN"/>
                <w14:textFill>
                  <w14:solidFill>
                    <w14:schemeClr w14:val="tx1"/>
                  </w14:solidFill>
                </w14:textFill>
              </w:rPr>
              <w:t>污水处理设施、危废暂存间</w:t>
            </w:r>
            <w:r>
              <w:rPr>
                <w:rFonts w:hint="default" w:ascii="Times New Roman" w:hAnsi="Times New Roman" w:eastAsia="宋体" w:cs="Times New Roman"/>
                <w:color w:val="000000" w:themeColor="text1"/>
                <w:kern w:val="0"/>
                <w:sz w:val="24"/>
                <w:szCs w:val="24"/>
                <w14:textFill>
                  <w14:solidFill>
                    <w14:schemeClr w14:val="tx1"/>
                  </w14:solidFill>
                </w14:textFill>
              </w:rPr>
              <w:t>）</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，等效黏土防渗层</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Mb≥6.0m，K≤1×10</w:t>
            </w:r>
            <w:r>
              <w:rPr>
                <w:rFonts w:hint="default" w:ascii="Times New Roman" w:hAnsi="Times New Roman" w:eastAsia="宋体" w:cs="Times New Roman"/>
                <w:color w:val="000000" w:themeColor="text1"/>
                <w:kern w:val="0"/>
                <w:sz w:val="24"/>
                <w:szCs w:val="24"/>
                <w:vertAlign w:val="superscript"/>
                <w:lang w:val="en-US" w:eastAsia="zh-CN"/>
                <w14:textFill>
                  <w14:solidFill>
                    <w14:schemeClr w14:val="tx1"/>
                  </w14:solidFill>
                </w14:textFill>
              </w:rPr>
              <w:t>-7</w:t>
            </w:r>
            <w:r>
              <w:rPr>
                <w:rFonts w:hint="default" w:ascii="Times New Roman" w:hAnsi="Times New Roman" w:eastAsia="宋体" w:cs="Times New Roman"/>
                <w:color w:val="000000" w:themeColor="text1"/>
                <w:kern w:val="0"/>
                <w:sz w:val="24"/>
                <w:szCs w:val="24"/>
                <w:lang w:val="en-US" w:eastAsia="zh-CN"/>
                <w14:textFill>
                  <w14:solidFill>
                    <w14:schemeClr w14:val="tx1"/>
                  </w14:solidFill>
                </w14:textFill>
              </w:rPr>
              <w:t>cm/s；或参照GB18598执行</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一般防渗区（一般暂存</w:t>
            </w:r>
            <w:r>
              <w:rPr>
                <w:rFonts w:hint="eastAsia" w:eastAsia="宋体" w:cs="Times New Roman"/>
                <w:color w:val="000000" w:themeColor="text1"/>
                <w:kern w:val="0"/>
                <w:sz w:val="24"/>
                <w:szCs w:val="24"/>
                <w:lang w:eastAsia="zh-CN"/>
                <w14:textFill>
                  <w14:solidFill>
                    <w14:schemeClr w14:val="tx1"/>
                  </w14:solidFill>
                </w14:textFill>
              </w:rPr>
              <w:t>间</w:t>
            </w:r>
            <w:r>
              <w:rPr>
                <w:rFonts w:hint="default" w:ascii="Times New Roman" w:hAnsi="Times New Roman" w:eastAsia="宋体" w:cs="Times New Roman"/>
                <w:color w:val="000000" w:themeColor="text1"/>
                <w:kern w:val="0"/>
                <w:sz w:val="24"/>
                <w:szCs w:val="24"/>
                <w14:textFill>
                  <w14:solidFill>
                    <w14:schemeClr w14:val="tx1"/>
                  </w14:solidFill>
                </w14:textFill>
              </w:rPr>
              <w:t>、废气处理设施区、其余生产区域）</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等效黏土防渗层Mb≥1.5m，</w:t>
            </w:r>
            <w:r>
              <w:rPr>
                <w:rFonts w:hint="default" w:ascii="Times New Roman" w:hAnsi="Times New Roman" w:eastAsia="宋体" w:cs="Times New Roman"/>
                <w:color w:val="000000" w:themeColor="text1"/>
                <w:sz w:val="24"/>
                <w:szCs w:val="24"/>
                <w14:textFill>
                  <w14:solidFill>
                    <w14:schemeClr w14:val="tx1"/>
                  </w14:solidFill>
                </w14:textFill>
              </w:rPr>
              <w:t>k≤1×10</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-7</w:t>
            </w:r>
            <w:r>
              <w:rPr>
                <w:rFonts w:hint="default" w:ascii="Times New Roman" w:hAnsi="Times New Roman" w:eastAsia="宋体" w:cs="Times New Roman"/>
                <w:color w:val="000000" w:themeColor="text1"/>
                <w:sz w:val="24"/>
                <w:szCs w:val="24"/>
                <w14:textFill>
                  <w14:solidFill>
                    <w14:schemeClr w14:val="tx1"/>
                  </w14:solidFill>
                </w14:textFill>
              </w:rPr>
              <w:t>cm/s，或参照GB</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16889</w:t>
            </w:r>
            <w:r>
              <w:rPr>
                <w:rFonts w:hint="default" w:ascii="Times New Roman" w:hAnsi="Times New Roman" w:eastAsia="宋体" w:cs="Times New Roman"/>
                <w:color w:val="000000" w:themeColor="text1"/>
                <w:sz w:val="24"/>
                <w:szCs w:val="24"/>
                <w14:textFill>
                  <w14:solidFill>
                    <w14:schemeClr w14:val="tx1"/>
                  </w14:solidFill>
                </w14:textFill>
              </w:rPr>
              <w:t>执行</w:t>
            </w:r>
            <w:r>
              <w:rPr>
                <w:rFonts w:hint="default" w:ascii="Times New Roman" w:hAnsi="Times New Roman" w:eastAsia="宋体" w:cs="Times New Roman"/>
                <w:color w:val="000000" w:themeColor="text1"/>
                <w:kern w:val="0"/>
                <w:sz w:val="24"/>
                <w:szCs w:val="24"/>
                <w14:textFill>
                  <w14:solidFill>
                    <w14:schemeClr w14:val="tx1"/>
                  </w14:solidFill>
                </w14:textFill>
              </w:rPr>
              <w:t>；简单防渗区（办公区）</w:t>
            </w:r>
            <w:r>
              <w:rPr>
                <w:rFonts w:hint="default" w:ascii="Times New Roman" w:hAnsi="Times New Roman" w:eastAsia="宋体" w:cs="Times New Roman"/>
                <w:color w:val="000000" w:themeColor="text1"/>
                <w:kern w:val="0"/>
                <w:sz w:val="24"/>
                <w:szCs w:val="24"/>
                <w:lang w:eastAsia="zh-CN"/>
                <w14:textFill>
                  <w14:solidFill>
                    <w14:schemeClr w14:val="tx1"/>
                  </w14:solidFill>
                </w14:textFill>
              </w:rPr>
              <w:t>，</w:t>
            </w:r>
            <w:r>
              <w:rPr>
                <w:rFonts w:hint="default" w:ascii="Times New Roman" w:hAnsi="Times New Roman" w:eastAsia="宋体" w:cs="Times New Roman"/>
                <w:color w:val="000000" w:themeColor="text1"/>
                <w:kern w:val="0"/>
                <w:sz w:val="24"/>
                <w:szCs w:val="24"/>
                <w14:textFill>
                  <w14:solidFill>
                    <w14:schemeClr w14:val="tx1"/>
                  </w14:solidFill>
                </w14:textFill>
              </w:rPr>
              <w:t>一般地面硬化。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生态保护措施</w:t>
            </w:r>
          </w:p>
        </w:tc>
        <w:tc>
          <w:tcPr>
            <w:tcW w:w="4243" w:type="pct"/>
            <w:gridSpan w:val="5"/>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spacing w:val="-8"/>
              </w:rPr>
            </w:pPr>
            <w:r>
              <w:rPr>
                <w:rFonts w:hint="default" w:ascii="Times New Roman" w:hAnsi="Times New Roman" w:cs="Times New Roman"/>
                <w:spacing w:val="-8"/>
              </w:rPr>
              <w:t>环境风险</w:t>
            </w:r>
          </w:p>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spacing w:val="-8"/>
              </w:rPr>
            </w:pPr>
            <w:r>
              <w:rPr>
                <w:rFonts w:hint="default" w:ascii="Times New Roman" w:hAnsi="Times New Roman" w:cs="Times New Roman"/>
                <w:spacing w:val="-8"/>
              </w:rPr>
              <w:t>防范措施</w:t>
            </w:r>
          </w:p>
        </w:tc>
        <w:tc>
          <w:tcPr>
            <w:tcW w:w="4243" w:type="pct"/>
            <w:gridSpan w:val="5"/>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left"/>
              <w:textAlignment w:val="auto"/>
              <w:rPr>
                <w:rFonts w:hint="default" w:ascii="Times New Roman" w:hAnsi="Times New Roman" w:cs="Times New Roman"/>
              </w:rPr>
            </w:pPr>
            <w:r>
              <w:rPr>
                <w:rFonts w:hint="default" w:ascii="Times New Roman" w:hAnsi="Times New Roman" w:cs="Times New Roman"/>
              </w:rPr>
              <w:t>加强对用电设备管理，电线线路及设备线路定期进行检查，加强管理和安全知识教育，增强防范措施，防治火灾发生。妥善存放原料和产品，设专人管理，在</w:t>
            </w:r>
            <w:r>
              <w:rPr>
                <w:rFonts w:hint="eastAsia" w:cs="Times New Roman"/>
                <w:lang w:eastAsia="zh-CN"/>
              </w:rPr>
              <w:t>原料仓库和成品仓库</w:t>
            </w:r>
            <w:r>
              <w:rPr>
                <w:rFonts w:hint="default" w:ascii="Times New Roman" w:hAnsi="Times New Roman" w:cs="Times New Roman"/>
              </w:rPr>
              <w:t>储存区禁止明火。要有充分的应急措施，建议企业编制应急预案。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56" w:type="pct"/>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spacing w:val="-8"/>
              </w:rPr>
            </w:pPr>
            <w:r>
              <w:rPr>
                <w:rFonts w:hint="default" w:ascii="Times New Roman" w:hAnsi="Times New Roman" w:cs="Times New Roman"/>
                <w:spacing w:val="-8"/>
              </w:rPr>
              <w:t>其他环境</w:t>
            </w:r>
          </w:p>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spacing w:val="-8"/>
              </w:rPr>
            </w:pPr>
            <w:r>
              <w:rPr>
                <w:rFonts w:hint="default" w:ascii="Times New Roman" w:hAnsi="Times New Roman" w:cs="Times New Roman"/>
                <w:spacing w:val="-8"/>
              </w:rPr>
              <w:t>管理要求</w:t>
            </w:r>
          </w:p>
        </w:tc>
        <w:tc>
          <w:tcPr>
            <w:tcW w:w="4243" w:type="pct"/>
            <w:gridSpan w:val="5"/>
            <w:vAlign w:val="center"/>
          </w:tcPr>
          <w:p>
            <w:pPr>
              <w:pageBreakBefore w:val="0"/>
              <w:widowControl w:val="0"/>
              <w:kinsoku/>
              <w:wordWrap/>
              <w:overflowPunct/>
              <w:topLinePunct w:val="0"/>
              <w:autoSpaceDE/>
              <w:autoSpaceDN/>
              <w:bidi w:val="0"/>
              <w:adjustRightInd w:val="0"/>
              <w:snapToGrid w:val="0"/>
              <w:spacing w:line="440" w:lineRule="exact"/>
              <w:ind w:firstLine="0" w:firstLineChars="0"/>
              <w:jc w:val="center"/>
              <w:textAlignment w:val="auto"/>
              <w:rPr>
                <w:rFonts w:hint="default" w:ascii="Times New Roman" w:hAnsi="Times New Roman" w:cs="Times New Roman"/>
              </w:rPr>
            </w:pPr>
            <w:r>
              <w:rPr>
                <w:rFonts w:hint="default" w:ascii="Times New Roman" w:hAnsi="Times New Roman" w:cs="Times New Roman"/>
              </w:rPr>
              <w:t>无</w:t>
            </w:r>
          </w:p>
        </w:tc>
      </w:tr>
    </w:tbl>
    <w:p>
      <w:pPr>
        <w:pStyle w:val="17"/>
        <w:ind w:firstLine="480"/>
        <w:jc w:val="center"/>
        <w:outlineLvl w:val="0"/>
        <w:rPr>
          <w:rFonts w:hint="default" w:ascii="Times New Roman" w:hAnsi="Times New Roman" w:eastAsia="黑体" w:cs="Times New Roman"/>
          <w:snapToGrid w:val="0"/>
          <w:sz w:val="30"/>
          <w:szCs w:val="30"/>
        </w:rPr>
      </w:pPr>
      <w:r>
        <w:rPr>
          <w:rFonts w:hint="default" w:ascii="Times New Roman" w:hAnsi="Times New Roman" w:cs="Times New Roman"/>
          <w:snapToGrid w:val="0"/>
        </w:rPr>
        <w:br w:type="page"/>
      </w:r>
      <w:bookmarkStart w:id="29" w:name="_Toc71538801"/>
      <w:r>
        <w:rPr>
          <w:rFonts w:hint="default" w:ascii="Times New Roman" w:hAnsi="Times New Roman" w:eastAsia="黑体" w:cs="Times New Roman"/>
          <w:snapToGrid w:val="0"/>
          <w:sz w:val="30"/>
          <w:szCs w:val="30"/>
        </w:rPr>
        <w:t>六、结论</w:t>
      </w:r>
      <w:bookmarkEnd w:id="29"/>
    </w:p>
    <w:tbl>
      <w:tblPr>
        <w:tblStyle w:val="20"/>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ind w:left="0" w:leftChars="0" w:firstLine="482" w:firstLineChars="200"/>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1、</w:t>
            </w:r>
            <w:r>
              <w:rPr>
                <w:rFonts w:hint="default" w:ascii="Times New Roman" w:hAnsi="Times New Roman" w:eastAsia="宋体" w:cs="Times New Roman"/>
                <w:b/>
                <w:bCs/>
                <w:color w:val="auto"/>
                <w:lang w:val="en-US" w:eastAsia="zh-CN"/>
              </w:rPr>
              <w:t>项目概论</w:t>
            </w:r>
          </w:p>
          <w:p>
            <w:pPr>
              <w:ind w:left="0" w:leftChars="0" w:firstLine="480" w:firstLineChars="200"/>
              <w:rPr>
                <w:rFonts w:hint="default" w:ascii="Times New Roman" w:hAnsi="Times New Roman" w:eastAsia="宋体" w:cs="Times New Roman"/>
                <w:color w:val="auto"/>
                <w:lang w:val="en-US" w:eastAsia="zh-CN"/>
              </w:rPr>
            </w:pPr>
            <w:r>
              <w:rPr>
                <w:rFonts w:hint="eastAsia" w:cs="Times New Roman"/>
                <w:color w:val="auto"/>
                <w:lang w:val="en-US" w:eastAsia="zh-CN"/>
              </w:rPr>
              <w:t>江西龙群环保科技有限公司年产2万吨生物可降解塑料制品项目</w:t>
            </w:r>
            <w:r>
              <w:rPr>
                <w:rFonts w:hint="default" w:ascii="Times New Roman" w:hAnsi="Times New Roman" w:eastAsia="宋体" w:cs="Times New Roman"/>
                <w:color w:val="auto"/>
              </w:rPr>
              <w:t>建于</w:t>
            </w:r>
            <w:r>
              <w:rPr>
                <w:rFonts w:hint="eastAsia" w:cs="Times New Roman"/>
                <w:color w:val="auto"/>
                <w:lang w:eastAsia="zh-CN"/>
              </w:rPr>
              <w:t>江西省上饶市婺源县工业园区金庸大道99号</w:t>
            </w:r>
            <w:r>
              <w:rPr>
                <w:rFonts w:hint="default" w:ascii="Times New Roman" w:hAnsi="Times New Roman" w:eastAsia="宋体" w:cs="Times New Roman"/>
                <w:color w:val="auto"/>
                <w:lang w:val="en-US" w:eastAsia="zh-CN"/>
              </w:rPr>
              <w:t>，总投资</w:t>
            </w:r>
            <w:r>
              <w:rPr>
                <w:rFonts w:hint="eastAsia" w:cs="Times New Roman"/>
                <w:color w:val="auto"/>
                <w:lang w:val="en-US" w:eastAsia="zh-CN"/>
              </w:rPr>
              <w:t>2100</w:t>
            </w:r>
            <w:r>
              <w:rPr>
                <w:rFonts w:hint="default" w:ascii="Times New Roman" w:hAnsi="Times New Roman" w:eastAsia="宋体" w:cs="Times New Roman"/>
                <w:color w:val="auto"/>
                <w:lang w:val="en-US" w:eastAsia="zh-CN"/>
              </w:rPr>
              <w:t>万元，</w:t>
            </w:r>
            <w:r>
              <w:rPr>
                <w:rFonts w:hint="eastAsia" w:cs="Times New Roman"/>
                <w:color w:val="auto"/>
                <w:lang w:val="en-US" w:eastAsia="zh-CN"/>
              </w:rPr>
              <w:t>项目建成投产后将实现年产生物可降解塑料制品2万吨的能力</w:t>
            </w:r>
            <w:r>
              <w:rPr>
                <w:rFonts w:hint="default" w:ascii="Times New Roman" w:hAnsi="Times New Roman" w:eastAsia="宋体" w:cs="Times New Roman"/>
                <w:color w:val="auto"/>
                <w:lang w:val="en-US" w:eastAsia="zh-CN"/>
              </w:rPr>
              <w:t>。</w:t>
            </w:r>
          </w:p>
          <w:p>
            <w:pPr>
              <w:ind w:left="0" w:leftChars="0" w:firstLine="482" w:firstLineChars="200"/>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2、</w:t>
            </w:r>
            <w:r>
              <w:rPr>
                <w:rFonts w:hint="default" w:ascii="Times New Roman" w:hAnsi="Times New Roman" w:eastAsia="宋体" w:cs="Times New Roman"/>
                <w:b/>
                <w:bCs/>
                <w:color w:val="auto"/>
                <w:lang w:val="en-US" w:eastAsia="zh-CN"/>
              </w:rPr>
              <w:t>环境质量状况</w:t>
            </w:r>
          </w:p>
          <w:p>
            <w:pPr>
              <w:ind w:left="0" w:leftChars="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项目建设地目前的环境空气质量良好，</w:t>
            </w:r>
            <w:r>
              <w:rPr>
                <w:rFonts w:hint="eastAsia" w:cs="Times New Roman"/>
                <w:color w:val="auto"/>
                <w:lang w:val="en-US" w:eastAsia="zh-CN"/>
              </w:rPr>
              <w:t>基本污染物环境质量</w:t>
            </w:r>
            <w:r>
              <w:rPr>
                <w:rFonts w:hint="default" w:ascii="Times New Roman" w:hAnsi="Times New Roman" w:eastAsia="宋体" w:cs="Times New Roman"/>
                <w:color w:val="auto"/>
                <w:lang w:val="en-US" w:eastAsia="zh-CN"/>
              </w:rPr>
              <w:t>满足《环境空气质量标准》（GB3095-2012）中的二级标准要求</w:t>
            </w:r>
            <w:r>
              <w:rPr>
                <w:rFonts w:hint="eastAsia" w:cs="Times New Roman"/>
                <w:color w:val="auto"/>
                <w:lang w:val="en-US" w:eastAsia="zh-CN"/>
              </w:rPr>
              <w:t>，非甲烷总烃满足《大气污染物综合排放标准详解》中规定的相关标准</w:t>
            </w:r>
            <w:r>
              <w:rPr>
                <w:rFonts w:hint="default" w:ascii="Times New Roman" w:hAnsi="Times New Roman" w:eastAsia="宋体" w:cs="Times New Roman"/>
                <w:color w:val="auto"/>
                <w:lang w:val="en-US" w:eastAsia="zh-CN"/>
              </w:rPr>
              <w:t>；地表水水质现状良好，满足《地表水环境质量标准》（GB3838-2002）中的Ⅲ类标准</w:t>
            </w:r>
            <w:r>
              <w:rPr>
                <w:rFonts w:hint="eastAsia" w:ascii="Times New Roman" w:hAnsi="Times New Roman" w:eastAsia="宋体" w:cs="Times New Roman"/>
                <w:color w:val="auto"/>
                <w:lang w:val="en-US" w:eastAsia="zh-CN"/>
              </w:rPr>
              <w:t>；声环境满足《声环境质量标准》（GB3096-2008）中的</w:t>
            </w:r>
            <w:r>
              <w:rPr>
                <w:rFonts w:hint="eastAsia" w:cs="Times New Roman"/>
                <w:color w:val="auto"/>
                <w:lang w:val="en-US" w:eastAsia="zh-CN"/>
              </w:rPr>
              <w:t>3</w:t>
            </w:r>
            <w:r>
              <w:rPr>
                <w:rFonts w:hint="eastAsia" w:ascii="Times New Roman" w:hAnsi="Times New Roman" w:eastAsia="宋体" w:cs="Times New Roman"/>
                <w:color w:val="auto"/>
                <w:lang w:val="en-US" w:eastAsia="zh-CN"/>
              </w:rPr>
              <w:t>类标准。</w:t>
            </w:r>
          </w:p>
          <w:p>
            <w:pPr>
              <w:ind w:left="0" w:leftChars="0" w:firstLine="482" w:firstLineChars="200"/>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3、</w:t>
            </w:r>
            <w:r>
              <w:rPr>
                <w:rFonts w:hint="default" w:ascii="Times New Roman" w:hAnsi="Times New Roman" w:eastAsia="宋体" w:cs="Times New Roman"/>
                <w:b/>
                <w:bCs/>
                <w:color w:val="auto"/>
                <w:lang w:val="en-US" w:eastAsia="zh-CN"/>
              </w:rPr>
              <w:t>环境影响评价</w:t>
            </w:r>
          </w:p>
          <w:p>
            <w:pPr>
              <w:ind w:left="0" w:leftChars="0" w:firstLine="48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①</w:t>
            </w:r>
            <w:r>
              <w:rPr>
                <w:rFonts w:hint="default" w:ascii="Times New Roman" w:hAnsi="Times New Roman" w:eastAsia="宋体" w:cs="Times New Roman"/>
                <w:color w:val="auto"/>
                <w:lang w:val="en-US" w:eastAsia="zh-CN"/>
              </w:rPr>
              <w:t>废气</w:t>
            </w:r>
          </w:p>
          <w:p>
            <w:pPr>
              <w:ind w:left="0" w:leftChars="0" w:firstLine="480" w:firstLineChars="200"/>
              <w:rPr>
                <w:rFonts w:hint="eastAsia" w:cs="Times New Roman"/>
                <w:color w:val="auto"/>
                <w:lang w:val="en-US" w:eastAsia="zh-CN"/>
              </w:rPr>
            </w:pPr>
            <w:r>
              <w:rPr>
                <w:rFonts w:hint="default" w:ascii="Times New Roman" w:hAnsi="Times New Roman" w:eastAsia="宋体" w:cs="Times New Roman"/>
                <w:color w:val="auto"/>
                <w:lang w:val="en-US" w:eastAsia="zh-CN"/>
              </w:rPr>
              <w:t>项目</w:t>
            </w:r>
            <w:r>
              <w:rPr>
                <w:rFonts w:hint="eastAsia" w:cs="Times New Roman"/>
                <w:color w:val="auto"/>
                <w:lang w:val="en-US" w:eastAsia="zh-CN"/>
              </w:rPr>
              <w:t>上料混料废气集气罩收集经一套布袋除尘器处理后通过一根不低于15m高排气筒（DA001）排放，熔融挤出废气集气罩收集经UV光解+两级活性炭吸附装置处理后同上料混料废气一起经一根不低于15m高排气筒（DA001）排放。同时车间内加强通风换气，对周边大气环境影响较小，项目需做好废气处理设施运营维护与管理，确定废气长期稳定达标排放。</w:t>
            </w:r>
          </w:p>
          <w:p>
            <w:pPr>
              <w:ind w:left="0" w:leftChars="0" w:firstLine="48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②</w:t>
            </w:r>
            <w:r>
              <w:rPr>
                <w:rFonts w:hint="default" w:ascii="Times New Roman" w:hAnsi="Times New Roman" w:eastAsia="宋体" w:cs="Times New Roman"/>
                <w:color w:val="auto"/>
                <w:lang w:val="en-US" w:eastAsia="zh-CN"/>
              </w:rPr>
              <w:t>废水</w:t>
            </w:r>
          </w:p>
          <w:p>
            <w:pPr>
              <w:ind w:firstLine="480"/>
              <w:rPr>
                <w:rFonts w:hint="default"/>
                <w:lang w:val="en-US" w:eastAsia="zh-CN"/>
              </w:rPr>
            </w:pPr>
            <w:r>
              <w:rPr>
                <w:rFonts w:hint="eastAsia"/>
                <w:lang w:val="en-US" w:eastAsia="zh-CN"/>
              </w:rPr>
              <w:t>本项目废水主要为生活污水，本项目生活污水经化粪池处理，达婺源县城西（工业园区）污水处理厂纳管标准（《污水综合排放标准》（GB8978-1996）表4中三级标准）后接园区污水管网排入污水处理厂处理，污水处理厂处理后尾水达《城镇污水处理厂污染物排放标准》（GB18918-2002）一级A标准后排入高砂河，最终汇入乐安河。</w:t>
            </w:r>
          </w:p>
          <w:p>
            <w:pPr>
              <w:ind w:left="0" w:leftChars="0" w:firstLine="48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③</w:t>
            </w:r>
            <w:r>
              <w:rPr>
                <w:rFonts w:hint="default" w:ascii="Times New Roman" w:hAnsi="Times New Roman" w:eastAsia="宋体" w:cs="Times New Roman"/>
                <w:color w:val="auto"/>
                <w:lang w:val="en-US" w:eastAsia="zh-CN"/>
              </w:rPr>
              <w:t>噪声</w:t>
            </w:r>
          </w:p>
          <w:p>
            <w:pPr>
              <w:ind w:left="0" w:leftChars="0" w:firstLine="480" w:firstLineChars="200"/>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项目选用先进的低噪音设备，各设备均布设于生产厂房内，采取隔声、降噪等措施，厂界噪声可满足《工业企业厂界环境噪声排放标准》（GB12348-2008）</w:t>
            </w:r>
            <w:r>
              <w:rPr>
                <w:rFonts w:hint="eastAsia" w:cs="Times New Roman"/>
                <w:color w:val="auto"/>
                <w:lang w:val="en-US" w:eastAsia="zh-CN"/>
              </w:rPr>
              <w:t>3</w:t>
            </w:r>
            <w:r>
              <w:rPr>
                <w:rFonts w:hint="default" w:ascii="Times New Roman" w:hAnsi="Times New Roman" w:eastAsia="宋体" w:cs="Times New Roman"/>
                <w:color w:val="auto"/>
                <w:lang w:val="en-US" w:eastAsia="zh-CN"/>
              </w:rPr>
              <w:t>类标准的要求。</w:t>
            </w:r>
          </w:p>
          <w:p>
            <w:pPr>
              <w:ind w:left="0" w:leftChars="0" w:firstLine="480" w:firstLineChars="20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④</w:t>
            </w:r>
            <w:r>
              <w:rPr>
                <w:rFonts w:hint="default" w:ascii="Times New Roman" w:hAnsi="Times New Roman" w:eastAsia="宋体" w:cs="Times New Roman"/>
                <w:color w:val="auto"/>
                <w:lang w:val="en-US" w:eastAsia="zh-CN"/>
              </w:rPr>
              <w:t>固体废物</w:t>
            </w:r>
          </w:p>
          <w:p>
            <w:pPr>
              <w:ind w:left="0" w:leftChars="0" w:firstLine="480" w:firstLineChars="200"/>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项目产生的固体废物均得到妥善处理，不会产生二次污染。一般工业固废的临时贮存满足《一般工业固体废物贮存和填埋污染控制标准》（GB18599-2020）要求</w:t>
            </w:r>
            <w:r>
              <w:rPr>
                <w:rFonts w:hint="eastAsia"/>
                <w:color w:val="000000" w:themeColor="text1"/>
                <w:sz w:val="24"/>
                <w:szCs w:val="24"/>
                <w:lang w:val="en-US" w:eastAsia="zh-CN"/>
                <w14:textFill>
                  <w14:solidFill>
                    <w14:schemeClr w14:val="tx1"/>
                  </w14:solidFill>
                </w14:textFill>
              </w:rPr>
              <w:t>，危险废物临时贮存满足《危险废物贮存污染控制标准》（GB18597-2001）及其修改单的要求</w:t>
            </w:r>
            <w:r>
              <w:rPr>
                <w:rFonts w:hint="eastAsia" w:ascii="Times New Roman" w:hAnsi="Times New Roman" w:eastAsia="宋体" w:cs="Times New Roman"/>
                <w:color w:val="auto"/>
                <w:lang w:val="en-US" w:eastAsia="zh-CN"/>
              </w:rPr>
              <w:t>。</w:t>
            </w:r>
          </w:p>
          <w:p>
            <w:pPr>
              <w:ind w:left="0" w:leftChars="0" w:firstLine="482" w:firstLineChars="200"/>
              <w:rPr>
                <w:rFonts w:hint="default" w:ascii="Times New Roman" w:hAnsi="Times New Roman" w:eastAsia="宋体" w:cs="Times New Roman"/>
                <w:b/>
                <w:bCs/>
                <w:color w:val="auto"/>
                <w:lang w:val="en-US" w:eastAsia="zh-CN"/>
              </w:rPr>
            </w:pPr>
            <w:r>
              <w:rPr>
                <w:rFonts w:hint="eastAsia" w:ascii="Times New Roman" w:hAnsi="Times New Roman" w:eastAsia="宋体" w:cs="Times New Roman"/>
                <w:b/>
                <w:bCs/>
                <w:color w:val="auto"/>
                <w:lang w:val="en-US" w:eastAsia="zh-CN"/>
              </w:rPr>
              <w:t>4、</w:t>
            </w:r>
            <w:r>
              <w:rPr>
                <w:rFonts w:hint="default" w:ascii="Times New Roman" w:hAnsi="Times New Roman" w:eastAsia="宋体" w:cs="Times New Roman"/>
                <w:b/>
                <w:bCs/>
                <w:color w:val="auto"/>
                <w:lang w:val="en-US" w:eastAsia="zh-CN"/>
              </w:rPr>
              <w:t>综合结论</w:t>
            </w:r>
          </w:p>
          <w:p>
            <w:pPr>
              <w:ind w:left="0" w:leftChars="0" w:firstLine="480" w:firstLineChars="200"/>
              <w:rPr>
                <w:rFonts w:hint="eastAsia" w:ascii="Times New Roman" w:hAnsi="Times New Roman" w:eastAsia="宋体" w:cs="Times New Roman"/>
                <w:color w:val="auto"/>
                <w:lang w:val="en-US" w:eastAsia="zh-CN"/>
              </w:rPr>
            </w:pPr>
            <w:r>
              <w:rPr>
                <w:rFonts w:hint="default" w:ascii="Times New Roman" w:hAnsi="Times New Roman" w:eastAsia="宋体" w:cs="Times New Roman"/>
                <w:color w:val="auto"/>
                <w:lang w:val="en-US" w:eastAsia="zh-CN"/>
              </w:rPr>
              <w:t>综上所述，</w:t>
            </w:r>
            <w:r>
              <w:rPr>
                <w:rFonts w:hint="eastAsia" w:cs="Times New Roman"/>
                <w:color w:val="auto"/>
                <w:lang w:val="en-US" w:eastAsia="zh-CN"/>
              </w:rPr>
              <w:t>江西龙群环保科技有限公司年产2万吨生物可降解塑料制品项目</w:t>
            </w:r>
            <w:r>
              <w:rPr>
                <w:rFonts w:hint="default" w:ascii="Times New Roman" w:hAnsi="Times New Roman" w:eastAsia="宋体" w:cs="Times New Roman"/>
                <w:color w:val="auto"/>
                <w:lang w:val="en-US" w:eastAsia="zh-CN"/>
              </w:rPr>
              <w:t>符合国家产业政策，选址合理，平面布置合理；项目营运期认真落实本次环评提出的防治措施后，对外环境的影响较小，且外环境不会制约本项目的建设。因此，从环境保护的角度而言，本项目是可行的，并可获得较好的环境、经济、社会效益</w:t>
            </w:r>
            <w:r>
              <w:rPr>
                <w:rFonts w:hint="eastAsia" w:ascii="Times New Roman" w:hAnsi="Times New Roman" w:eastAsia="宋体" w:cs="Times New Roman"/>
                <w:color w:val="auto"/>
                <w:lang w:val="en-US" w:eastAsia="zh-CN"/>
              </w:rPr>
              <w:t>。</w:t>
            </w:r>
          </w:p>
          <w:p>
            <w:pPr>
              <w:ind w:firstLine="480"/>
              <w:rPr>
                <w:rFonts w:hint="default" w:ascii="Times New Roman" w:hAnsi="Times New Roman" w:cs="Times New Roman"/>
              </w:rPr>
            </w:pPr>
          </w:p>
        </w:tc>
      </w:tr>
    </w:tbl>
    <w:p>
      <w:pPr>
        <w:ind w:firstLine="480"/>
        <w:rPr>
          <w:rFonts w:hint="default" w:ascii="Times New Roman" w:hAnsi="Times New Roman" w:cs="Times New Roman"/>
        </w:rPr>
        <w:sectPr>
          <w:pgSz w:w="11906" w:h="16838"/>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p>
    <w:p>
      <w:pPr>
        <w:pStyle w:val="17"/>
        <w:adjustRightInd w:val="0"/>
        <w:snapToGrid w:val="0"/>
        <w:spacing w:before="0" w:beforeAutospacing="0" w:after="0" w:afterAutospacing="0"/>
        <w:ind w:firstLine="640"/>
        <w:outlineLvl w:val="0"/>
        <w:rPr>
          <w:rFonts w:hint="default" w:ascii="Times New Roman" w:hAnsi="Times New Roman" w:eastAsia="黑体" w:cs="Times New Roman"/>
          <w:snapToGrid w:val="0"/>
          <w:sz w:val="32"/>
          <w:szCs w:val="32"/>
        </w:rPr>
      </w:pPr>
      <w:bookmarkStart w:id="30" w:name="_Toc29542"/>
      <w:bookmarkStart w:id="31" w:name="_Toc71538802"/>
      <w:r>
        <w:rPr>
          <w:rFonts w:hint="default" w:ascii="Times New Roman" w:hAnsi="Times New Roman" w:eastAsia="黑体" w:cs="Times New Roman"/>
          <w:snapToGrid w:val="0"/>
          <w:sz w:val="32"/>
          <w:szCs w:val="32"/>
        </w:rPr>
        <w:t>附表</w:t>
      </w:r>
      <w:bookmarkEnd w:id="30"/>
      <w:bookmarkEnd w:id="31"/>
    </w:p>
    <w:p>
      <w:pPr>
        <w:pStyle w:val="17"/>
        <w:adjustRightInd w:val="0"/>
        <w:snapToGrid w:val="0"/>
        <w:spacing w:before="0" w:beforeAutospacing="0" w:after="0" w:afterAutospacing="0"/>
        <w:ind w:firstLine="0" w:firstLineChars="0"/>
        <w:jc w:val="center"/>
        <w:outlineLvl w:val="0"/>
        <w:rPr>
          <w:rFonts w:hint="default" w:ascii="Times New Roman" w:hAnsi="Times New Roman" w:cs="Times New Roman"/>
          <w:snapToGrid w:val="0"/>
          <w:sz w:val="38"/>
          <w:szCs w:val="38"/>
        </w:rPr>
      </w:pPr>
      <w:bookmarkStart w:id="32" w:name="_Toc71538803"/>
      <w:bookmarkStart w:id="33" w:name="_Toc12224"/>
      <w:r>
        <w:rPr>
          <w:rFonts w:hint="default" w:ascii="Times New Roman" w:hAnsi="Times New Roman" w:cs="Times New Roman"/>
          <w:snapToGrid w:val="0"/>
          <w:sz w:val="38"/>
          <w:szCs w:val="38"/>
        </w:rPr>
        <w:t>建设项目污染物排放量汇总表</w:t>
      </w:r>
      <w:bookmarkEnd w:id="32"/>
      <w:bookmarkEnd w:id="33"/>
    </w:p>
    <w:tbl>
      <w:tblPr>
        <w:tblStyle w:val="20"/>
        <w:tblW w:w="499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2429"/>
        <w:gridCol w:w="1700"/>
        <w:gridCol w:w="1300"/>
        <w:gridCol w:w="1725"/>
        <w:gridCol w:w="1625"/>
        <w:gridCol w:w="1479"/>
        <w:gridCol w:w="1729"/>
        <w:gridCol w:w="12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tcBorders>
              <w:tl2br w:val="single" w:color="auto" w:sz="4" w:space="0"/>
            </w:tcBorders>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 xml:space="preserve">        项目</w:t>
            </w:r>
          </w:p>
          <w:p>
            <w:pPr>
              <w:pStyle w:val="40"/>
              <w:spacing w:beforeLines="0" w:afterLines="0" w:line="440" w:lineRule="exact"/>
              <w:ind w:firstLine="0" w:firstLineChars="0"/>
              <w:jc w:val="both"/>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分类</w:t>
            </w:r>
          </w:p>
        </w:tc>
        <w:tc>
          <w:tcPr>
            <w:tcW w:w="825" w:type="pct"/>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污染物名称</w:t>
            </w:r>
          </w:p>
        </w:tc>
        <w:tc>
          <w:tcPr>
            <w:tcW w:w="578" w:type="pct"/>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现有工程</w:t>
            </w:r>
          </w:p>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1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①</w:t>
            </w:r>
            <w:r>
              <w:rPr>
                <w:rFonts w:hint="default" w:ascii="Times New Roman" w:hAnsi="Times New Roman" w:cs="Times New Roman"/>
                <w:b/>
                <w:bCs/>
                <w:snapToGrid w:val="0"/>
                <w:color w:val="000000"/>
                <w:spacing w:val="-6"/>
                <w:kern w:val="21"/>
                <w:szCs w:val="24"/>
              </w:rPr>
              <w:fldChar w:fldCharType="end"/>
            </w:r>
          </w:p>
        </w:tc>
        <w:tc>
          <w:tcPr>
            <w:tcW w:w="442" w:type="pct"/>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现有工程</w:t>
            </w:r>
          </w:p>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许可排放量</w:t>
            </w:r>
          </w:p>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2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snapToGrid w:val="0"/>
                <w:color w:val="000000"/>
                <w:spacing w:val="-6"/>
                <w:kern w:val="21"/>
                <w:szCs w:val="24"/>
              </w:rPr>
              <w:t>②</w:t>
            </w:r>
            <w:r>
              <w:rPr>
                <w:rFonts w:hint="default" w:ascii="Times New Roman" w:hAnsi="Times New Roman" w:cs="Times New Roman"/>
                <w:b/>
                <w:bCs/>
                <w:snapToGrid w:val="0"/>
                <w:color w:val="000000"/>
                <w:spacing w:val="-6"/>
                <w:kern w:val="21"/>
                <w:szCs w:val="24"/>
              </w:rPr>
              <w:fldChar w:fldCharType="end"/>
            </w:r>
          </w:p>
        </w:tc>
        <w:tc>
          <w:tcPr>
            <w:tcW w:w="586" w:type="pct"/>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在建工程</w:t>
            </w:r>
          </w:p>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3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③</w:t>
            </w:r>
            <w:r>
              <w:rPr>
                <w:rFonts w:hint="default" w:ascii="Times New Roman" w:hAnsi="Times New Roman" w:cs="Times New Roman"/>
                <w:b/>
                <w:bCs/>
                <w:snapToGrid w:val="0"/>
                <w:color w:val="000000"/>
                <w:spacing w:val="-6"/>
                <w:kern w:val="21"/>
                <w:szCs w:val="24"/>
              </w:rPr>
              <w:fldChar w:fldCharType="end"/>
            </w:r>
          </w:p>
        </w:tc>
        <w:tc>
          <w:tcPr>
            <w:tcW w:w="552" w:type="pct"/>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本项目</w:t>
            </w:r>
          </w:p>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排放量（固体废物产生量）</w:t>
            </w: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4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④</w:t>
            </w:r>
            <w:r>
              <w:rPr>
                <w:rFonts w:hint="default" w:ascii="Times New Roman" w:hAnsi="Times New Roman" w:cs="Times New Roman"/>
                <w:b/>
                <w:bCs/>
                <w:snapToGrid w:val="0"/>
                <w:color w:val="000000"/>
                <w:spacing w:val="-6"/>
                <w:kern w:val="21"/>
                <w:szCs w:val="24"/>
              </w:rPr>
              <w:fldChar w:fldCharType="end"/>
            </w:r>
          </w:p>
        </w:tc>
        <w:tc>
          <w:tcPr>
            <w:tcW w:w="502" w:type="pct"/>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以新带老削减量（新建项目不填）</w:t>
            </w:r>
            <w:r>
              <w:rPr>
                <w:rFonts w:hint="default" w:ascii="Times New Roman" w:hAnsi="Times New Roman" w:cs="Times New Roman"/>
                <w:b/>
                <w:bCs/>
                <w:snapToGrid w:val="0"/>
                <w:color w:val="000000"/>
                <w:spacing w:val="-16"/>
                <w:kern w:val="21"/>
                <w:szCs w:val="24"/>
              </w:rPr>
              <w:fldChar w:fldCharType="begin"/>
            </w:r>
            <w:r>
              <w:rPr>
                <w:rFonts w:hint="default" w:ascii="Times New Roman" w:hAnsi="Times New Roman" w:cs="Times New Roman"/>
                <w:b/>
                <w:bCs/>
                <w:snapToGrid w:val="0"/>
                <w:color w:val="000000"/>
                <w:spacing w:val="-16"/>
                <w:kern w:val="21"/>
                <w:szCs w:val="24"/>
              </w:rPr>
              <w:instrText xml:space="preserve"> = 5 \* GB3 \* MERGEFORMAT </w:instrText>
            </w:r>
            <w:r>
              <w:rPr>
                <w:rFonts w:hint="default" w:ascii="Times New Roman" w:hAnsi="Times New Roman" w:cs="Times New Roman"/>
                <w:b/>
                <w:bCs/>
                <w:snapToGrid w:val="0"/>
                <w:color w:val="000000"/>
                <w:spacing w:val="-16"/>
                <w:kern w:val="21"/>
                <w:szCs w:val="24"/>
              </w:rPr>
              <w:fldChar w:fldCharType="separate"/>
            </w:r>
            <w:r>
              <w:rPr>
                <w:rFonts w:hint="default" w:ascii="Times New Roman" w:hAnsi="Times New Roman" w:cs="Times New Roman"/>
                <w:b/>
                <w:bCs/>
                <w:kern w:val="2"/>
                <w:szCs w:val="24"/>
              </w:rPr>
              <w:t>⑤</w:t>
            </w:r>
            <w:r>
              <w:rPr>
                <w:rFonts w:hint="default" w:ascii="Times New Roman" w:hAnsi="Times New Roman" w:cs="Times New Roman"/>
                <w:b/>
                <w:bCs/>
                <w:snapToGrid w:val="0"/>
                <w:color w:val="000000"/>
                <w:spacing w:val="-16"/>
                <w:kern w:val="21"/>
                <w:szCs w:val="24"/>
              </w:rPr>
              <w:fldChar w:fldCharType="end"/>
            </w:r>
          </w:p>
        </w:tc>
        <w:tc>
          <w:tcPr>
            <w:tcW w:w="587" w:type="pct"/>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本项目建成后</w:t>
            </w:r>
          </w:p>
          <w:p>
            <w:pPr>
              <w:pStyle w:val="40"/>
              <w:spacing w:beforeLines="0" w:afterLines="0" w:line="440" w:lineRule="exact"/>
              <w:ind w:firstLine="0" w:firstLineChars="0"/>
              <w:rPr>
                <w:rFonts w:hint="default" w:ascii="Times New Roman" w:hAnsi="Times New Roman" w:cs="Times New Roman"/>
                <w:b/>
                <w:bCs/>
                <w:snapToGrid w:val="0"/>
                <w:color w:val="000000"/>
                <w:spacing w:val="-16"/>
                <w:kern w:val="21"/>
                <w:szCs w:val="24"/>
              </w:rPr>
            </w:pPr>
            <w:r>
              <w:rPr>
                <w:rFonts w:hint="default" w:ascii="Times New Roman" w:hAnsi="Times New Roman" w:cs="Times New Roman"/>
                <w:b/>
                <w:bCs/>
                <w:snapToGrid w:val="0"/>
                <w:color w:val="000000"/>
                <w:spacing w:val="-16"/>
                <w:kern w:val="21"/>
                <w:szCs w:val="24"/>
              </w:rPr>
              <w:t>全厂排放量（固体废物产生量）</w:t>
            </w:r>
            <w:r>
              <w:rPr>
                <w:rFonts w:hint="default" w:ascii="Times New Roman" w:hAnsi="Times New Roman" w:cs="Times New Roman"/>
                <w:b/>
                <w:bCs/>
                <w:snapToGrid w:val="0"/>
                <w:color w:val="000000"/>
                <w:spacing w:val="-16"/>
                <w:kern w:val="21"/>
                <w:szCs w:val="24"/>
              </w:rPr>
              <w:fldChar w:fldCharType="begin"/>
            </w:r>
            <w:r>
              <w:rPr>
                <w:rFonts w:hint="default" w:ascii="Times New Roman" w:hAnsi="Times New Roman" w:cs="Times New Roman"/>
                <w:b/>
                <w:bCs/>
                <w:snapToGrid w:val="0"/>
                <w:color w:val="000000"/>
                <w:spacing w:val="-16"/>
                <w:kern w:val="21"/>
                <w:szCs w:val="24"/>
              </w:rPr>
              <w:instrText xml:space="preserve"> = 6 \* GB3 \* MERGEFORMAT </w:instrText>
            </w:r>
            <w:r>
              <w:rPr>
                <w:rFonts w:hint="default" w:ascii="Times New Roman" w:hAnsi="Times New Roman" w:cs="Times New Roman"/>
                <w:b/>
                <w:bCs/>
                <w:snapToGrid w:val="0"/>
                <w:color w:val="000000"/>
                <w:spacing w:val="-16"/>
                <w:kern w:val="21"/>
                <w:szCs w:val="24"/>
              </w:rPr>
              <w:fldChar w:fldCharType="separate"/>
            </w:r>
            <w:r>
              <w:rPr>
                <w:rFonts w:hint="default" w:ascii="Times New Roman" w:hAnsi="Times New Roman" w:cs="Times New Roman"/>
                <w:b/>
                <w:bCs/>
                <w:kern w:val="2"/>
                <w:szCs w:val="24"/>
              </w:rPr>
              <w:t>⑥</w:t>
            </w:r>
            <w:r>
              <w:rPr>
                <w:rFonts w:hint="default" w:ascii="Times New Roman" w:hAnsi="Times New Roman" w:cs="Times New Roman"/>
                <w:b/>
                <w:bCs/>
                <w:snapToGrid w:val="0"/>
                <w:color w:val="000000"/>
                <w:spacing w:val="-16"/>
                <w:kern w:val="21"/>
                <w:szCs w:val="24"/>
              </w:rPr>
              <w:fldChar w:fldCharType="end"/>
            </w:r>
          </w:p>
        </w:tc>
        <w:tc>
          <w:tcPr>
            <w:tcW w:w="438" w:type="pct"/>
            <w:tcMar>
              <w:left w:w="28" w:type="dxa"/>
              <w:right w:w="28" w:type="dxa"/>
            </w:tcMar>
            <w:vAlign w:val="center"/>
          </w:tcPr>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t>变化量</w:t>
            </w:r>
          </w:p>
          <w:p>
            <w:pPr>
              <w:pStyle w:val="40"/>
              <w:spacing w:beforeLines="0" w:afterLines="0" w:line="440" w:lineRule="exact"/>
              <w:ind w:firstLine="0" w:firstLineChars="0"/>
              <w:rPr>
                <w:rFonts w:hint="default" w:ascii="Times New Roman" w:hAnsi="Times New Roman" w:cs="Times New Roman"/>
                <w:b/>
                <w:bCs/>
                <w:snapToGrid w:val="0"/>
                <w:color w:val="000000"/>
                <w:spacing w:val="-6"/>
                <w:kern w:val="21"/>
                <w:szCs w:val="24"/>
              </w:rPr>
            </w:pPr>
            <w:r>
              <w:rPr>
                <w:rFonts w:hint="default" w:ascii="Times New Roman" w:hAnsi="Times New Roman" w:cs="Times New Roman"/>
                <w:b/>
                <w:bCs/>
                <w:snapToGrid w:val="0"/>
                <w:color w:val="000000"/>
                <w:spacing w:val="-6"/>
                <w:kern w:val="21"/>
                <w:szCs w:val="24"/>
              </w:rPr>
              <w:fldChar w:fldCharType="begin"/>
            </w:r>
            <w:r>
              <w:rPr>
                <w:rFonts w:hint="default" w:ascii="Times New Roman" w:hAnsi="Times New Roman" w:cs="Times New Roman"/>
                <w:b/>
                <w:bCs/>
                <w:snapToGrid w:val="0"/>
                <w:color w:val="000000"/>
                <w:spacing w:val="-6"/>
                <w:kern w:val="21"/>
                <w:szCs w:val="24"/>
              </w:rPr>
              <w:instrText xml:space="preserve"> = 7 \* GB3 \* MERGEFORMAT </w:instrText>
            </w:r>
            <w:r>
              <w:rPr>
                <w:rFonts w:hint="default" w:ascii="Times New Roman" w:hAnsi="Times New Roman" w:cs="Times New Roman"/>
                <w:b/>
                <w:bCs/>
                <w:snapToGrid w:val="0"/>
                <w:color w:val="000000"/>
                <w:spacing w:val="-6"/>
                <w:kern w:val="21"/>
                <w:szCs w:val="24"/>
              </w:rPr>
              <w:fldChar w:fldCharType="separate"/>
            </w:r>
            <w:r>
              <w:rPr>
                <w:rFonts w:hint="default" w:ascii="Times New Roman" w:hAnsi="Times New Roman" w:cs="Times New Roman"/>
                <w:b/>
                <w:bCs/>
                <w:kern w:val="2"/>
                <w:szCs w:val="24"/>
              </w:rPr>
              <w:t>⑦</w:t>
            </w:r>
            <w:r>
              <w:rPr>
                <w:rFonts w:hint="default" w:ascii="Times New Roman" w:hAnsi="Times New Roman" w:cs="Times New Roman"/>
                <w:b/>
                <w:bCs/>
                <w:snapToGrid w:val="0"/>
                <w:color w:val="000000"/>
                <w:spacing w:val="-6"/>
                <w:kern w:val="21"/>
                <w:szCs w:val="24"/>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废气</w:t>
            </w:r>
          </w:p>
        </w:tc>
        <w:tc>
          <w:tcPr>
            <w:tcW w:w="825" w:type="pct"/>
            <w:vAlign w:val="center"/>
          </w:tcPr>
          <w:p>
            <w:pPr>
              <w:adjustRightInd w:val="0"/>
              <w:snapToGrid w:val="0"/>
              <w:ind w:firstLine="0" w:firstLineChars="0"/>
              <w:jc w:val="center"/>
              <w:rPr>
                <w:rFonts w:hint="default" w:ascii="Times New Roman" w:hAnsi="Times New Roman" w:eastAsia="宋体" w:cs="Times New Roman"/>
                <w:lang w:val="en-US" w:eastAsia="zh-CN"/>
              </w:rPr>
            </w:pPr>
            <w:r>
              <w:rPr>
                <w:rFonts w:hint="eastAsia" w:cs="Times New Roman"/>
                <w:lang w:val="en-US" w:eastAsia="zh-CN"/>
              </w:rPr>
              <w:t>非甲烷总烃</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sz w:val="24"/>
                <w:szCs w:val="24"/>
                <w:lang w:val="en-US" w:eastAsia="zh-CN"/>
              </w:rPr>
            </w:pPr>
            <w:r>
              <w:rPr>
                <w:rFonts w:hint="eastAsia" w:cs="Times New Roman"/>
                <w:color w:val="auto"/>
                <w:sz w:val="24"/>
                <w:szCs w:val="24"/>
                <w:lang w:val="en-US" w:eastAsia="zh-CN"/>
              </w:rPr>
              <w:t>0.582t/a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kern w:val="21"/>
                <w:szCs w:val="24"/>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kern w:val="21"/>
                <w:lang w:val="en-US" w:eastAsia="zh-CN"/>
              </w:rPr>
            </w:pPr>
            <w:r>
              <w:rPr>
                <w:rFonts w:hint="eastAsia" w:cs="Times New Roman"/>
                <w:color w:val="auto"/>
                <w:sz w:val="24"/>
                <w:szCs w:val="24"/>
                <w:lang w:val="en-US" w:eastAsia="zh-CN"/>
              </w:rPr>
              <w:t>0.582t/a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kern w:val="21"/>
                <w:lang w:val="en-US" w:eastAsia="zh-CN"/>
              </w:rPr>
            </w:pPr>
            <w:r>
              <w:rPr>
                <w:rFonts w:hint="eastAsia" w:cs="Times New Roman"/>
                <w:color w:val="auto"/>
                <w:sz w:val="24"/>
                <w:szCs w:val="24"/>
                <w:lang w:val="en-US" w:eastAsia="zh-CN"/>
              </w:rPr>
              <w:t>+0.582t/a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adjustRightInd w:val="0"/>
              <w:snapToGrid w:val="0"/>
              <w:ind w:firstLine="0" w:firstLineChars="0"/>
              <w:jc w:val="center"/>
              <w:rPr>
                <w:rFonts w:hint="default" w:cs="Times New Roman"/>
                <w:lang w:val="en-US" w:eastAsia="zh-CN"/>
              </w:rPr>
            </w:pPr>
            <w:r>
              <w:rPr>
                <w:rFonts w:hint="eastAsia" w:cs="Times New Roman"/>
                <w:lang w:val="en-US" w:eastAsia="zh-CN"/>
              </w:rPr>
              <w:t>TSP</w:t>
            </w:r>
          </w:p>
        </w:tc>
        <w:tc>
          <w:tcPr>
            <w:tcW w:w="578"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adjustRightInd w:val="0"/>
              <w:snapToGrid w:val="0"/>
              <w:ind w:firstLine="0" w:firstLineChars="0"/>
              <w:jc w:val="center"/>
              <w:rPr>
                <w:rFonts w:hint="eastAsia" w:ascii="Times New Roman" w:hAnsi="Times New Roman" w:eastAsia="宋体"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b w:val="0"/>
                <w:bCs w:val="0"/>
                <w:color w:val="000000"/>
                <w:sz w:val="24"/>
                <w:szCs w:val="24"/>
                <w:lang w:val="en-US" w:eastAsia="zh-CN"/>
              </w:rPr>
            </w:pPr>
            <w:r>
              <w:rPr>
                <w:rFonts w:hint="eastAsia" w:cs="Times New Roman"/>
                <w:color w:val="auto"/>
                <w:sz w:val="24"/>
                <w:szCs w:val="24"/>
                <w:lang w:val="en-US" w:eastAsia="zh-CN"/>
              </w:rPr>
              <w:t>0.65t/a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kern w:val="21"/>
                <w:szCs w:val="24"/>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color w:val="auto"/>
                <w:sz w:val="24"/>
                <w:szCs w:val="24"/>
                <w:lang w:val="en-US" w:eastAsia="zh-CN"/>
              </w:rPr>
              <w:t>0.65t/a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color w:val="auto"/>
                <w:sz w:val="24"/>
                <w:szCs w:val="24"/>
                <w:lang w:val="en-US" w:eastAsia="zh-CN"/>
              </w:rPr>
              <w:t>+0.65t/a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废水</w:t>
            </w:r>
          </w:p>
        </w:tc>
        <w:tc>
          <w:tcPr>
            <w:tcW w:w="825" w:type="pct"/>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COD</w:t>
            </w:r>
            <w:r>
              <w:rPr>
                <w:rFonts w:hint="default" w:ascii="Times New Roman" w:hAnsi="Times New Roman" w:cs="Times New Roman"/>
                <w:snapToGrid w:val="0"/>
                <w:color w:val="000000"/>
                <w:kern w:val="21"/>
                <w:szCs w:val="24"/>
                <w:vertAlign w:val="subscript"/>
              </w:rPr>
              <w:t>Cr</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pStyle w:val="40"/>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color w:val="000000"/>
                <w:lang w:val="en-US" w:eastAsia="zh-CN"/>
              </w:rPr>
              <w:t>0.072</w:t>
            </w:r>
            <w:r>
              <w:rPr>
                <w:rFonts w:hint="default" w:ascii="Times New Roman" w:hAnsi="Times New Roman" w:cs="Times New Roman"/>
                <w:b w:val="0"/>
                <w:bCs w:val="0"/>
                <w:color w:val="000000"/>
                <w:lang w:val="en-US" w:eastAsia="zh-CN"/>
              </w:rPr>
              <w:t>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pStyle w:val="40"/>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0.072</w:t>
            </w:r>
            <w:r>
              <w:rPr>
                <w:rFonts w:hint="default" w:ascii="Times New Roman" w:hAnsi="Times New Roman" w:cs="Times New Roman"/>
                <w:b w:val="0"/>
                <w:bCs w:val="0"/>
                <w:color w:val="000000"/>
                <w:lang w:val="en-US" w:eastAsia="zh-CN"/>
              </w:rPr>
              <w:t>t/a</w:t>
            </w:r>
          </w:p>
        </w:tc>
        <w:tc>
          <w:tcPr>
            <w:tcW w:w="438"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t>+</w:t>
            </w: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0.072</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bCs/>
                <w:szCs w:val="24"/>
              </w:rPr>
              <w:t>NH</w:t>
            </w:r>
            <w:r>
              <w:rPr>
                <w:rFonts w:hint="default" w:ascii="Times New Roman" w:hAnsi="Times New Roman" w:cs="Times New Roman"/>
                <w:bCs/>
                <w:szCs w:val="24"/>
                <w:vertAlign w:val="subscript"/>
              </w:rPr>
              <w:t>3</w:t>
            </w:r>
            <w:r>
              <w:rPr>
                <w:rFonts w:hint="default" w:ascii="Times New Roman" w:hAnsi="Times New Roman" w:cs="Times New Roman"/>
                <w:bCs/>
                <w:szCs w:val="24"/>
              </w:rPr>
              <w:t>-N</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pStyle w:val="40"/>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0.007</w:t>
            </w:r>
            <w:r>
              <w:rPr>
                <w:rFonts w:hint="default" w:ascii="Times New Roman" w:hAnsi="Times New Roman" w:cs="Times New Roman"/>
                <w:b w:val="0"/>
                <w:bCs w:val="0"/>
                <w:color w:val="000000"/>
                <w:lang w:val="en-US" w:eastAsia="zh-CN"/>
              </w:rPr>
              <w:t>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pStyle w:val="40"/>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t>0.</w:t>
            </w: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007</w:t>
            </w:r>
            <w:r>
              <w:rPr>
                <w:rFonts w:hint="default" w:ascii="Times New Roman" w:hAnsi="Times New Roman" w:cs="Times New Roman"/>
                <w:b w:val="0"/>
                <w:bCs w:val="0"/>
                <w:color w:val="000000"/>
                <w:lang w:val="en-US" w:eastAsia="zh-CN"/>
              </w:rPr>
              <w:t>t/a</w:t>
            </w:r>
          </w:p>
        </w:tc>
        <w:tc>
          <w:tcPr>
            <w:tcW w:w="438"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t>+0.</w:t>
            </w:r>
            <w:r>
              <w:rPr>
                <w:rFonts w:hint="eastAsia" w:ascii="Times New Roman" w:cs="Times New Roman"/>
                <w:b w:val="0"/>
                <w:bCs w:val="0"/>
                <w:snapToGrid w:val="0"/>
                <w:color w:val="000000" w:themeColor="text1"/>
                <w:kern w:val="21"/>
                <w:szCs w:val="24"/>
                <w:lang w:val="en-US" w:eastAsia="zh-CN"/>
                <w14:textFill>
                  <w14:solidFill>
                    <w14:schemeClr w14:val="tx1"/>
                  </w14:solidFill>
                </w14:textFill>
              </w:rPr>
              <w:t>007</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一般工业</w:t>
            </w:r>
          </w:p>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r>
              <w:rPr>
                <w:rFonts w:hint="default" w:ascii="Times New Roman" w:hAnsi="Times New Roman" w:cs="Times New Roman"/>
                <w:snapToGrid w:val="0"/>
                <w:color w:val="000000"/>
                <w:kern w:val="21"/>
                <w:szCs w:val="24"/>
              </w:rPr>
              <w:t>固体废物</w:t>
            </w:r>
          </w:p>
        </w:tc>
        <w:tc>
          <w:tcPr>
            <w:tcW w:w="825"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不合格品</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100</w:t>
            </w:r>
            <w:r>
              <w:rPr>
                <w:rFonts w:hint="default" w:ascii="Times New Roman" w:hAnsi="Times New Roman" w:cs="Times New Roman"/>
                <w:b w:val="0"/>
                <w:bCs w:val="0"/>
                <w:color w:val="000000"/>
                <w:lang w:val="en-US" w:eastAsia="zh-CN"/>
              </w:rPr>
              <w:t>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color w:val="auto"/>
                <w:sz w:val="24"/>
                <w:szCs w:val="24"/>
                <w:lang w:val="en-US" w:eastAsia="zh-CN"/>
              </w:rPr>
              <w:t>100</w:t>
            </w:r>
            <w:r>
              <w:rPr>
                <w:rFonts w:hint="default" w:ascii="Times New Roman" w:hAnsi="Times New Roman" w:cs="Times New Roman"/>
                <w:b w:val="0"/>
                <w:bCs w:val="0"/>
                <w:color w:val="000000"/>
                <w:lang w:val="en-US" w:eastAsia="zh-CN"/>
              </w:rPr>
              <w:t>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eastAsia" w:ascii="Times New Roman" w:hAnsi="Times New Roman" w:eastAsia="宋体" w:cs="Times New Roman"/>
                <w:color w:val="auto"/>
                <w:sz w:val="24"/>
                <w:szCs w:val="24"/>
                <w:lang w:val="en-US" w:eastAsia="zh-CN"/>
              </w:rPr>
              <w:t>+100</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除尘灰</w:t>
            </w:r>
          </w:p>
        </w:tc>
        <w:tc>
          <w:tcPr>
            <w:tcW w:w="578"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442"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86" w:type="pct"/>
            <w:vAlign w:val="center"/>
          </w:tcPr>
          <w:p>
            <w:pPr>
              <w:adjustRightInd w:val="0"/>
              <w:snapToGrid w:val="0"/>
              <w:ind w:firstLine="0" w:firstLineChars="0"/>
              <w:jc w:val="center"/>
              <w:rPr>
                <w:rFonts w:hint="default" w:ascii="Times New Roman" w:hAnsi="Times New Roman" w:cs="Times New Roman"/>
                <w:b w:val="0"/>
                <w:bCs w:val="0"/>
                <w:snapToGrid w:val="0"/>
                <w:color w:val="000000"/>
                <w:kern w:val="21"/>
              </w:rPr>
            </w:pPr>
            <w:r>
              <w:rPr>
                <w:rFonts w:hint="default" w:ascii="Times New Roman" w:hAnsi="Times New Roman" w:cs="Times New Roman"/>
                <w:b w:val="0"/>
                <w:bCs w:val="0"/>
                <w:snapToGrid w:val="0"/>
                <w:color w:val="000000"/>
                <w:kern w:val="21"/>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34.64</w:t>
            </w:r>
            <w:r>
              <w:rPr>
                <w:rFonts w:hint="default" w:ascii="Times New Roman" w:hAnsi="Times New Roman" w:cs="Times New Roman"/>
                <w:b w:val="0"/>
                <w:bCs w:val="0"/>
                <w:color w:val="000000"/>
                <w:lang w:val="en-US" w:eastAsia="zh-CN"/>
              </w:rPr>
              <w:t>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cs="Times New Roman"/>
                <w:color w:val="auto"/>
                <w:sz w:val="24"/>
                <w:szCs w:val="24"/>
                <w:lang w:val="en-US" w:eastAsia="zh-CN"/>
              </w:rPr>
              <w:t>34.64</w:t>
            </w:r>
            <w:r>
              <w:rPr>
                <w:rFonts w:hint="default" w:ascii="Times New Roman" w:hAnsi="Times New Roman" w:cs="Times New Roman"/>
                <w:b w:val="0"/>
                <w:bCs w:val="0"/>
                <w:color w:val="000000"/>
                <w:lang w:val="en-US" w:eastAsia="zh-CN"/>
              </w:rPr>
              <w:t>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napToGrid w:val="0"/>
                <w:color w:val="000000" w:themeColor="text1"/>
                <w:kern w:val="21"/>
                <w:szCs w:val="24"/>
                <w14:textFill>
                  <w14:solidFill>
                    <w14:schemeClr w14:val="tx1"/>
                  </w14:solidFill>
                </w14:textFill>
              </w:rPr>
            </w:pP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34.64</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tabs>
                <w:tab w:val="left" w:pos="1080"/>
              </w:tabs>
              <w:adjustRightInd w:val="0"/>
              <w:snapToGrid w:val="0"/>
              <w:spacing w:line="240" w:lineRule="auto"/>
              <w:ind w:firstLine="0" w:firstLineChars="0"/>
              <w:jc w:val="cente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废布袋</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 w:val="0"/>
                <w:bCs w:val="0"/>
                <w:snapToGrid w:val="0"/>
                <w:color w:val="000000"/>
                <w:kern w:val="21"/>
                <w:sz w:val="24"/>
                <w:szCs w:val="24"/>
                <w:lang w:val="en-US" w:eastAsia="zh-CN" w:bidi="ar-SA"/>
              </w:rPr>
            </w:pPr>
            <w:r>
              <w:rPr>
                <w:rFonts w:hint="eastAsia" w:cs="Times New Roman"/>
                <w:b w:val="0"/>
                <w:bCs w:val="0"/>
                <w:snapToGrid w:val="0"/>
                <w:color w:val="000000"/>
                <w:kern w:val="21"/>
                <w:lang w:val="en-US" w:eastAsia="zh-CN"/>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0.2</w:t>
            </w:r>
            <w:r>
              <w:rPr>
                <w:rFonts w:hint="default" w:ascii="Times New Roman" w:hAnsi="Times New Roman" w:cs="Times New Roman"/>
                <w:b w:val="0"/>
                <w:bCs w:val="0"/>
                <w:color w:val="000000"/>
                <w:lang w:val="en-US" w:eastAsia="zh-CN"/>
              </w:rPr>
              <w:t>t/a</w:t>
            </w:r>
          </w:p>
        </w:tc>
        <w:tc>
          <w:tcPr>
            <w:tcW w:w="502" w:type="pct"/>
            <w:vAlign w:val="center"/>
          </w:tcPr>
          <w:p>
            <w:pPr>
              <w:pStyle w:val="40"/>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color w:val="auto"/>
                <w:sz w:val="24"/>
                <w:szCs w:val="24"/>
                <w:lang w:val="en-US" w:eastAsia="zh-CN"/>
              </w:rPr>
              <w:t>0.2</w:t>
            </w:r>
            <w:r>
              <w:rPr>
                <w:rFonts w:hint="default" w:ascii="Times New Roman" w:hAnsi="Times New Roman" w:cs="Times New Roman"/>
                <w:b w:val="0"/>
                <w:bCs w:val="0"/>
                <w:color w:val="000000"/>
                <w:lang w:val="en-US" w:eastAsia="zh-CN"/>
              </w:rPr>
              <w:t>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r>
              <w:rPr>
                <w:rFonts w:hint="eastAsia" w:ascii="Times New Roman" w:hAnsi="Times New Roman" w:eastAsia="宋体" w:cs="Times New Roman"/>
                <w:color w:val="auto"/>
                <w:sz w:val="24"/>
                <w:szCs w:val="24"/>
                <w:lang w:val="en-US" w:eastAsia="zh-CN"/>
              </w:rPr>
              <w:t>+0.2</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Align w:val="center"/>
          </w:tcPr>
          <w:p>
            <w:pPr>
              <w:pStyle w:val="40"/>
              <w:spacing w:beforeLines="0" w:afterLines="0" w:line="440" w:lineRule="exact"/>
              <w:ind w:firstLine="0" w:firstLineChars="0"/>
              <w:rPr>
                <w:rFonts w:hint="default" w:ascii="Times New Roman" w:hAnsi="Times New Roman" w:cs="Times New Roman"/>
                <w:snapToGrid w:val="0"/>
                <w:color w:val="000000"/>
                <w:kern w:val="21"/>
                <w:szCs w:val="24"/>
              </w:rPr>
            </w:pPr>
          </w:p>
        </w:tc>
        <w:tc>
          <w:tcPr>
            <w:tcW w:w="825"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废滤网</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0.48t/a</w:t>
            </w:r>
          </w:p>
        </w:tc>
        <w:tc>
          <w:tcPr>
            <w:tcW w:w="502" w:type="pct"/>
            <w:vAlign w:val="center"/>
          </w:tcPr>
          <w:p>
            <w:pPr>
              <w:pStyle w:val="40"/>
              <w:spacing w:beforeLines="0" w:afterLines="0" w:line="440" w:lineRule="exact"/>
              <w:ind w:firstLine="0" w:firstLineChars="0"/>
              <w:rPr>
                <w:rFonts w:hint="default" w:ascii="Times New Roman" w:hAnsi="Times New Roman" w:eastAsia="宋体" w:cs="Times New Roman"/>
                <w:b w:val="0"/>
                <w:bCs w:val="0"/>
                <w:snapToGrid w:val="0"/>
                <w:color w:val="000000" w:themeColor="text1"/>
                <w:kern w:val="21"/>
                <w:sz w:val="24"/>
                <w:szCs w:val="24"/>
                <w:lang w:val="en-US" w:eastAsia="zh-CN" w:bidi="ar-SA"/>
                <w14:textFill>
                  <w14:solidFill>
                    <w14:schemeClr w14:val="tx1"/>
                  </w14:solidFill>
                </w14:textFill>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0.48t/a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+0.48t/a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restart"/>
            <w:vAlign w:val="center"/>
          </w:tcPr>
          <w:p>
            <w:pPr>
              <w:pStyle w:val="40"/>
              <w:spacing w:beforeLines="0" w:afterLines="0" w:line="440" w:lineRule="exact"/>
              <w:ind w:firstLine="0" w:firstLineChars="0"/>
              <w:rPr>
                <w:rFonts w:hint="eastAsia" w:ascii="Times New Roman" w:hAnsi="Times New Roman" w:eastAsia="宋体" w:cs="Times New Roman"/>
                <w:snapToGrid w:val="0"/>
                <w:color w:val="000000"/>
                <w:kern w:val="21"/>
                <w:szCs w:val="24"/>
                <w:lang w:eastAsia="zh-CN"/>
              </w:rPr>
            </w:pPr>
            <w:r>
              <w:rPr>
                <w:rFonts w:hint="eastAsia" w:ascii="Times New Roman" w:cs="Times New Roman"/>
                <w:snapToGrid w:val="0"/>
                <w:color w:val="000000"/>
                <w:kern w:val="21"/>
                <w:szCs w:val="24"/>
                <w:lang w:eastAsia="zh-CN"/>
              </w:rPr>
              <w:t>危险废物</w:t>
            </w:r>
          </w:p>
        </w:tc>
        <w:tc>
          <w:tcPr>
            <w:tcW w:w="825" w:type="pct"/>
            <w:vAlign w:val="center"/>
          </w:tcPr>
          <w:p>
            <w:pPr>
              <w:tabs>
                <w:tab w:val="left" w:pos="1080"/>
              </w:tabs>
              <w:adjustRightInd w:val="0"/>
              <w:snapToGrid w:val="0"/>
              <w:spacing w:line="240" w:lineRule="auto"/>
              <w:ind w:firstLine="0" w:firstLineChars="0"/>
              <w:jc w:val="center"/>
              <w:rPr>
                <w:rFonts w:hint="default"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废UV灯管</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0.05</w:t>
            </w:r>
            <w:r>
              <w:rPr>
                <w:rFonts w:hint="default" w:ascii="Times New Roman" w:hAnsi="Times New Roman" w:cs="Times New Roman"/>
                <w:b w:val="0"/>
                <w:bCs w:val="0"/>
                <w:color w:val="000000"/>
                <w:lang w:val="en-US" w:eastAsia="zh-CN"/>
              </w:rPr>
              <w:t>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auto"/>
                <w:sz w:val="24"/>
                <w:szCs w:val="24"/>
                <w:lang w:val="en-US" w:eastAsia="zh-CN"/>
              </w:rPr>
              <w:t>0.05</w:t>
            </w:r>
            <w:r>
              <w:rPr>
                <w:rFonts w:hint="default" w:ascii="Times New Roman" w:hAnsi="Times New Roman" w:cs="Times New Roman"/>
                <w:b w:val="0"/>
                <w:bCs w:val="0"/>
                <w:color w:val="000000"/>
                <w:lang w:val="en-US" w:eastAsia="zh-CN"/>
              </w:rPr>
              <w:t>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auto"/>
                <w:sz w:val="24"/>
                <w:szCs w:val="24"/>
                <w:lang w:val="en-US" w:eastAsia="zh-CN"/>
              </w:rPr>
              <w:t>+0.05</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40"/>
              <w:spacing w:beforeLines="0" w:afterLines="0" w:line="440" w:lineRule="exact"/>
              <w:ind w:firstLine="0" w:firstLineChars="0"/>
              <w:rPr>
                <w:rFonts w:hint="eastAsia" w:ascii="Times New Roman" w:hAnsi="Times New Roman" w:eastAsia="宋体" w:cs="Times New Roman"/>
                <w:snapToGrid w:val="0"/>
                <w:color w:val="000000"/>
                <w:kern w:val="21"/>
                <w:szCs w:val="24"/>
                <w:lang w:eastAsia="zh-CN"/>
              </w:rPr>
            </w:pPr>
          </w:p>
        </w:tc>
        <w:tc>
          <w:tcPr>
            <w:tcW w:w="825" w:type="pct"/>
            <w:vAlign w:val="center"/>
          </w:tcPr>
          <w:p>
            <w:pPr>
              <w:tabs>
                <w:tab w:val="left" w:pos="1080"/>
              </w:tabs>
              <w:adjustRightInd w:val="0"/>
              <w:snapToGrid w:val="0"/>
              <w:spacing w:line="240" w:lineRule="auto"/>
              <w:ind w:firstLine="0" w:firstLineChars="0"/>
              <w:jc w:val="cente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废活性炭</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12.638</w:t>
            </w:r>
            <w:r>
              <w:rPr>
                <w:rFonts w:hint="default" w:ascii="Times New Roman" w:hAnsi="Times New Roman" w:cs="Times New Roman"/>
                <w:b w:val="0"/>
                <w:bCs w:val="0"/>
                <w:color w:val="000000"/>
                <w:lang w:val="en-US" w:eastAsia="zh-CN"/>
              </w:rPr>
              <w:t>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pPr>
            <w:r>
              <w:rPr>
                <w:rFonts w:hint="eastAsia" w:cs="Times New Roman"/>
                <w:color w:val="auto"/>
                <w:sz w:val="24"/>
                <w:szCs w:val="24"/>
                <w:lang w:val="en-US" w:eastAsia="zh-CN"/>
              </w:rPr>
              <w:t>12.638</w:t>
            </w:r>
            <w:r>
              <w:rPr>
                <w:rFonts w:hint="default" w:ascii="Times New Roman" w:hAnsi="Times New Roman" w:cs="Times New Roman"/>
                <w:b w:val="0"/>
                <w:bCs w:val="0"/>
                <w:color w:val="000000"/>
                <w:lang w:val="en-US" w:eastAsia="zh-CN"/>
              </w:rPr>
              <w:t>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b w:val="0"/>
                <w:bCs w:val="0"/>
                <w:snapToGrid w:val="0"/>
                <w:color w:val="000000" w:themeColor="text1"/>
                <w:kern w:val="21"/>
                <w:szCs w:val="24"/>
                <w:lang w:val="en-US" w:eastAsia="zh-CN"/>
                <w14:textFill>
                  <w14:solidFill>
                    <w14:schemeClr w14:val="tx1"/>
                  </w14:solidFill>
                </w14:textFill>
              </w:rPr>
            </w:pPr>
            <w:r>
              <w:rPr>
                <w:rFonts w:hint="eastAsia" w:ascii="Times New Roman" w:hAnsi="Times New Roman" w:eastAsia="宋体" w:cs="Times New Roman"/>
                <w:color w:val="auto"/>
                <w:sz w:val="24"/>
                <w:szCs w:val="24"/>
                <w:lang w:val="en-US" w:eastAsia="zh-CN"/>
              </w:rPr>
              <w:t>+</w:t>
            </w:r>
            <w:r>
              <w:rPr>
                <w:rFonts w:hint="eastAsia" w:cs="Times New Roman"/>
                <w:color w:val="auto"/>
                <w:sz w:val="24"/>
                <w:szCs w:val="24"/>
                <w:lang w:val="en-US" w:eastAsia="zh-CN"/>
              </w:rPr>
              <w:t>12.638</w:t>
            </w:r>
            <w:r>
              <w:rPr>
                <w:rFonts w:hint="default" w:ascii="Times New Roman" w:hAnsi="Times New Roman" w:cs="Times New Roman"/>
                <w:b w:val="0"/>
                <w:bCs w:val="0"/>
                <w:color w:val="000000"/>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85" w:type="pct"/>
            <w:vMerge w:val="continue"/>
            <w:vAlign w:val="center"/>
          </w:tcPr>
          <w:p>
            <w:pPr>
              <w:pStyle w:val="40"/>
              <w:spacing w:beforeLines="0" w:afterLines="0" w:line="440" w:lineRule="exact"/>
              <w:ind w:firstLine="0" w:firstLineChars="0"/>
              <w:rPr>
                <w:rFonts w:hint="eastAsia" w:ascii="Times New Roman" w:hAnsi="Times New Roman" w:eastAsia="宋体" w:cs="Times New Roman"/>
                <w:snapToGrid w:val="0"/>
                <w:color w:val="000000"/>
                <w:kern w:val="21"/>
                <w:szCs w:val="24"/>
                <w:lang w:eastAsia="zh-CN"/>
              </w:rPr>
            </w:pPr>
          </w:p>
        </w:tc>
        <w:tc>
          <w:tcPr>
            <w:tcW w:w="825" w:type="pct"/>
            <w:vAlign w:val="center"/>
          </w:tcPr>
          <w:p>
            <w:pPr>
              <w:tabs>
                <w:tab w:val="left" w:pos="1080"/>
              </w:tabs>
              <w:adjustRightInd w:val="0"/>
              <w:snapToGrid w:val="0"/>
              <w:spacing w:line="240" w:lineRule="auto"/>
              <w:ind w:firstLine="0" w:firstLineChars="0"/>
              <w:jc w:val="center"/>
              <w:rPr>
                <w:rFonts w:hint="eastAsia" w:cs="Times New Roman"/>
                <w:color w:val="000000" w:themeColor="text1"/>
                <w:kern w:val="0"/>
                <w:sz w:val="24"/>
                <w:szCs w:val="24"/>
                <w:lang w:val="en-US" w:eastAsia="zh-CN" w:bidi="ar-SA"/>
                <w14:textFill>
                  <w14:solidFill>
                    <w14:schemeClr w14:val="tx1"/>
                  </w14:solidFill>
                </w14:textFill>
              </w:rPr>
            </w:pPr>
            <w:r>
              <w:rPr>
                <w:rFonts w:hint="eastAsia" w:cs="Times New Roman"/>
                <w:color w:val="000000" w:themeColor="text1"/>
                <w:kern w:val="0"/>
                <w:sz w:val="24"/>
                <w:szCs w:val="24"/>
                <w:lang w:val="en-US" w:eastAsia="zh-CN" w:bidi="ar-SA"/>
                <w14:textFill>
                  <w14:solidFill>
                    <w14:schemeClr w14:val="tx1"/>
                  </w14:solidFill>
                </w14:textFill>
              </w:rPr>
              <w:t>废矿物油</w:t>
            </w:r>
          </w:p>
        </w:tc>
        <w:tc>
          <w:tcPr>
            <w:tcW w:w="578"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442"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86" w:type="pct"/>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cs="Times New Roman"/>
                <w:b w:val="0"/>
                <w:bCs w:val="0"/>
                <w:snapToGrid w:val="0"/>
                <w:color w:val="000000"/>
                <w:kern w:val="21"/>
                <w:lang w:val="en-US" w:eastAsia="zh-CN"/>
              </w:rPr>
            </w:pPr>
            <w:r>
              <w:rPr>
                <w:rFonts w:hint="eastAsia" w:cs="Times New Roman"/>
                <w:b w:val="0"/>
                <w:bCs w:val="0"/>
                <w:snapToGrid w:val="0"/>
                <w:color w:val="000000"/>
                <w:kern w:val="21"/>
                <w:lang w:val="en-US" w:eastAsia="zh-CN"/>
              </w:rPr>
              <w:t>0</w:t>
            </w:r>
          </w:p>
        </w:tc>
        <w:tc>
          <w:tcPr>
            <w:tcW w:w="55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cs="Times New Roman"/>
                <w:color w:val="auto"/>
                <w:sz w:val="24"/>
                <w:szCs w:val="24"/>
                <w:lang w:val="en-US" w:eastAsia="zh-CN"/>
              </w:rPr>
            </w:pPr>
            <w:r>
              <w:rPr>
                <w:rFonts w:hint="eastAsia" w:cs="Times New Roman"/>
                <w:color w:val="auto"/>
                <w:sz w:val="24"/>
                <w:szCs w:val="24"/>
                <w:lang w:val="en-US" w:eastAsia="zh-CN"/>
              </w:rPr>
              <w:t>0.2t/a</w:t>
            </w:r>
          </w:p>
        </w:tc>
        <w:tc>
          <w:tcPr>
            <w:tcW w:w="502" w:type="pct"/>
            <w:vAlign w:val="center"/>
          </w:tcPr>
          <w:p>
            <w:pPr>
              <w:pStyle w:val="40"/>
              <w:spacing w:beforeLines="0" w:afterLines="0" w:line="440" w:lineRule="exact"/>
              <w:ind w:firstLine="0" w:firstLineChars="0"/>
              <w:rPr>
                <w:rFonts w:hint="default" w:ascii="Times New Roman" w:hAnsi="Times New Roman" w:cs="Times New Roman"/>
                <w:b w:val="0"/>
                <w:bCs w:val="0"/>
                <w:snapToGrid w:val="0"/>
                <w:color w:val="000000" w:themeColor="text1"/>
                <w:kern w:val="21"/>
                <w:szCs w:val="24"/>
                <w14:textFill>
                  <w14:solidFill>
                    <w14:schemeClr w14:val="tx1"/>
                  </w14:solidFill>
                </w14:textFill>
              </w:rPr>
            </w:pPr>
          </w:p>
        </w:tc>
        <w:tc>
          <w:tcPr>
            <w:tcW w:w="58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cs="Times New Roman"/>
                <w:color w:val="auto"/>
                <w:sz w:val="24"/>
                <w:szCs w:val="24"/>
                <w:lang w:val="en-US" w:eastAsia="zh-CN"/>
              </w:rPr>
            </w:pPr>
            <w:r>
              <w:rPr>
                <w:rFonts w:hint="eastAsia" w:cs="Times New Roman"/>
                <w:color w:val="auto"/>
                <w:sz w:val="24"/>
                <w:szCs w:val="24"/>
                <w:lang w:val="en-US" w:eastAsia="zh-CN"/>
              </w:rPr>
              <w:t>0.2t/a</w:t>
            </w:r>
          </w:p>
        </w:tc>
        <w:tc>
          <w:tcPr>
            <w:tcW w:w="438"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+0.2t/a</w:t>
            </w:r>
          </w:p>
        </w:tc>
      </w:tr>
    </w:tbl>
    <w:p>
      <w:pPr>
        <w:pStyle w:val="40"/>
        <w:spacing w:before="192" w:beforeLines="80" w:after="24"/>
        <w:ind w:firstLine="480"/>
        <w:jc w:val="left"/>
        <w:rPr>
          <w:rFonts w:hint="default" w:ascii="Times New Roman" w:hAnsi="Times New Roman" w:cs="Times New Roman"/>
        </w:rPr>
        <w:sectPr>
          <w:footerReference r:id="rId17" w:type="default"/>
          <w:pgSz w:w="16838" w:h="11906" w:orient="landscape"/>
          <w:pgMar w:top="1440" w:right="1080" w:bottom="1440" w:left="1080" w:header="851" w:footer="851" w:gutter="0"/>
          <w:pgBorders>
            <w:top w:val="none" w:sz="0" w:space="0"/>
            <w:left w:val="none" w:sz="0" w:space="0"/>
            <w:bottom w:val="none" w:sz="0" w:space="0"/>
            <w:right w:val="none" w:sz="0" w:space="0"/>
          </w:pgBorders>
          <w:cols w:space="720" w:num="1"/>
          <w:docGrid w:linePitch="312" w:charSpace="0"/>
        </w:sectPr>
      </w:pPr>
      <w:r>
        <w:rPr>
          <w:rFonts w:hint="default" w:ascii="Times New Roman" w:hAnsi="Times New Roman" w:cs="Times New Roman"/>
          <w:snapToGrid w:val="0"/>
          <w:color w:val="000000"/>
          <w:kern w:val="21"/>
          <w:szCs w:val="21"/>
        </w:rPr>
        <w:t>注：</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3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③</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4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④</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5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⑤</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7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⑦</w:t>
      </w:r>
      <w:r>
        <w:rPr>
          <w:rFonts w:hint="default" w:ascii="Times New Roman" w:hAnsi="Times New Roman" w:cs="Times New Roman"/>
          <w:snapToGrid w:val="0"/>
          <w:color w:val="000000"/>
          <w:spacing w:val="-6"/>
          <w:kern w:val="21"/>
          <w:szCs w:val="21"/>
        </w:rPr>
        <w:fldChar w:fldCharType="end"/>
      </w:r>
      <w:r>
        <w:rPr>
          <w:rFonts w:hint="default" w:ascii="Times New Roman" w:hAnsi="Times New Roman" w:cs="Times New Roman"/>
          <w:snapToGrid w:val="0"/>
          <w:color w:val="000000"/>
          <w:spacing w:val="-6"/>
          <w:kern w:val="21"/>
          <w:szCs w:val="21"/>
        </w:rPr>
        <w:t>=</w:t>
      </w:r>
      <w:r>
        <w:rPr>
          <w:rFonts w:hint="default" w:ascii="Times New Roman" w:hAnsi="Times New Roman" w:cs="Times New Roman"/>
          <w:snapToGrid w:val="0"/>
          <w:color w:val="000000"/>
          <w:spacing w:val="-16"/>
          <w:kern w:val="21"/>
          <w:szCs w:val="21"/>
        </w:rPr>
        <w:fldChar w:fldCharType="begin"/>
      </w:r>
      <w:r>
        <w:rPr>
          <w:rFonts w:hint="default" w:ascii="Times New Roman" w:hAnsi="Times New Roman" w:cs="Times New Roman"/>
          <w:snapToGrid w:val="0"/>
          <w:color w:val="000000"/>
          <w:spacing w:val="-16"/>
          <w:kern w:val="21"/>
          <w:szCs w:val="21"/>
        </w:rPr>
        <w:instrText xml:space="preserve"> = 6 \* GB3 \* MERGEFORMAT </w:instrText>
      </w:r>
      <w:r>
        <w:rPr>
          <w:rFonts w:hint="default" w:ascii="Times New Roman" w:hAnsi="Times New Roman" w:cs="Times New Roman"/>
          <w:snapToGrid w:val="0"/>
          <w:color w:val="000000"/>
          <w:spacing w:val="-16"/>
          <w:kern w:val="21"/>
          <w:szCs w:val="21"/>
        </w:rPr>
        <w:fldChar w:fldCharType="separate"/>
      </w:r>
      <w:r>
        <w:rPr>
          <w:rFonts w:hint="default" w:ascii="Times New Roman" w:hAnsi="Times New Roman" w:cs="Times New Roman"/>
          <w:szCs w:val="21"/>
        </w:rPr>
        <w:t>⑥</w:t>
      </w:r>
      <w:r>
        <w:rPr>
          <w:rFonts w:hint="default" w:ascii="Times New Roman" w:hAnsi="Times New Roman" w:cs="Times New Roman"/>
          <w:snapToGrid w:val="0"/>
          <w:color w:val="000000"/>
          <w:spacing w:val="-16"/>
          <w:kern w:val="21"/>
          <w:szCs w:val="21"/>
        </w:rPr>
        <w:fldChar w:fldCharType="end"/>
      </w:r>
      <w:r>
        <w:rPr>
          <w:rFonts w:hint="default" w:ascii="Times New Roman" w:hAnsi="Times New Roman" w:cs="Times New Roman"/>
          <w:snapToGrid w:val="0"/>
          <w:color w:val="000000"/>
          <w:spacing w:val="-16"/>
          <w:kern w:val="21"/>
          <w:szCs w:val="21"/>
        </w:rPr>
        <w:t>-</w:t>
      </w:r>
      <w:r>
        <w:rPr>
          <w:rFonts w:hint="default" w:ascii="Times New Roman" w:hAnsi="Times New Roman" w:cs="Times New Roman"/>
          <w:snapToGrid w:val="0"/>
          <w:color w:val="000000"/>
          <w:spacing w:val="-6"/>
          <w:kern w:val="21"/>
          <w:szCs w:val="21"/>
        </w:rPr>
        <w:fldChar w:fldCharType="begin"/>
      </w:r>
      <w:r>
        <w:rPr>
          <w:rFonts w:hint="default" w:ascii="Times New Roman" w:hAnsi="Times New Roman" w:cs="Times New Roman"/>
          <w:snapToGrid w:val="0"/>
          <w:color w:val="000000"/>
          <w:spacing w:val="-6"/>
          <w:kern w:val="21"/>
          <w:szCs w:val="21"/>
        </w:rPr>
        <w:instrText xml:space="preserve"> = 1 \* GB3 \* MERGEFORMAT </w:instrText>
      </w:r>
      <w:r>
        <w:rPr>
          <w:rFonts w:hint="default" w:ascii="Times New Roman" w:hAnsi="Times New Roman" w:cs="Times New Roman"/>
          <w:snapToGrid w:val="0"/>
          <w:color w:val="000000"/>
          <w:spacing w:val="-6"/>
          <w:kern w:val="21"/>
          <w:szCs w:val="21"/>
        </w:rPr>
        <w:fldChar w:fldCharType="separate"/>
      </w:r>
      <w:r>
        <w:rPr>
          <w:rFonts w:hint="default" w:ascii="Times New Roman" w:hAnsi="Times New Roman" w:cs="Times New Roman"/>
          <w:szCs w:val="21"/>
        </w:rPr>
        <w:t>①</w:t>
      </w:r>
      <w:r>
        <w:rPr>
          <w:rFonts w:hint="default" w:ascii="Times New Roman" w:hAnsi="Times New Roman" w:cs="Times New Roman"/>
          <w:snapToGrid w:val="0"/>
          <w:color w:val="000000"/>
          <w:spacing w:val="-6"/>
          <w:kern w:val="21"/>
          <w:szCs w:val="21"/>
        </w:rPr>
        <w:fldChar w:fldCharType="end"/>
      </w:r>
    </w:p>
    <w:p>
      <w:pPr>
        <w:tabs>
          <w:tab w:val="left" w:pos="1536"/>
        </w:tabs>
        <w:bidi w:val="0"/>
        <w:ind w:left="0" w:leftChars="0" w:firstLine="0" w:firstLineChars="0"/>
        <w:jc w:val="left"/>
        <w:rPr>
          <w:rFonts w:hint="default" w:ascii="Times New Roman" w:hAnsi="Times New Roman" w:eastAsia="宋体" w:cs="Times New Roman"/>
          <w:kern w:val="2"/>
          <w:sz w:val="24"/>
          <w:szCs w:val="24"/>
          <w:lang w:val="en-US" w:eastAsia="zh-CN" w:bidi="ar-SA"/>
        </w:rPr>
      </w:pPr>
    </w:p>
    <w:sectPr>
      <w:footerReference r:id="rId18" w:type="default"/>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ind w:firstLine="360"/>
      <w:rPr>
        <w:rStyle w:val="23"/>
      </w:rPr>
    </w:pPr>
    <w:r>
      <w:fldChar w:fldCharType="begin"/>
    </w:r>
    <w:r>
      <w:rPr>
        <w:rStyle w:val="23"/>
      </w:rPr>
      <w:instrText xml:space="preserve">PAGE  </w:instrText>
    </w:r>
    <w: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34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35</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gLis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LmAuKyQEAAJkDAAAOAAAAAAAAAAEAIAAAAB4BAABkcnMvZTJvRG9j&#10;LnhtbFBLBQYAAAAABgAGAFkBAABZBQ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ind w:firstLine="360"/>
                          </w:pPr>
                          <w:r>
                            <w:fldChar w:fldCharType="begin"/>
                          </w:r>
                          <w:r>
                            <w:instrText xml:space="preserve"> PAGE  \* MERGEFORMAT </w:instrText>
                          </w:r>
                          <w:r>
                            <w:fldChar w:fldCharType="separate"/>
                          </w:r>
                          <w:r>
                            <w:t>36</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BX5skBAACZAwAADgAAAGRycy9lMm9Eb2MueG1srVPNjtMwEL4j8Q6W&#10;79RpQ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mJ4xYHfvn+7fLj1+XnV/Iq&#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9YFfmyQEAAJkDAAAOAAAAAAAAAAEAIAAAAB4BAABkcnMvZTJvRG9j&#10;LnhtbFBLBQYAAAAABgAGAFkBAABZBQAAAAA=&#10;">
              <v:fill on="f" focussize="0,0"/>
              <v:stroke on="f"/>
              <v:imagedata o:title=""/>
              <o:lock v:ext="edit" aspectratio="f"/>
              <v:textbox inset="0mm,0mm,0mm,0mm" style="mso-fit-shape-to-text:t;">
                <w:txbxContent>
                  <w:p>
                    <w:pPr>
                      <w:pStyle w:val="14"/>
                      <w:ind w:firstLine="360"/>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6B9AD"/>
    <w:multiLevelType w:val="singleLevel"/>
    <w:tmpl w:val="8416B9AD"/>
    <w:lvl w:ilvl="0" w:tentative="0">
      <w:start w:val="1"/>
      <w:numFmt w:val="decimal"/>
      <w:lvlText w:val="%1."/>
      <w:lvlJc w:val="left"/>
      <w:pPr>
        <w:tabs>
          <w:tab w:val="left" w:pos="312"/>
        </w:tabs>
      </w:pPr>
    </w:lvl>
  </w:abstractNum>
  <w:abstractNum w:abstractNumId="1">
    <w:nsid w:val="C1FAFE9A"/>
    <w:multiLevelType w:val="singleLevel"/>
    <w:tmpl w:val="C1FAFE9A"/>
    <w:lvl w:ilvl="0" w:tentative="0">
      <w:start w:val="1"/>
      <w:numFmt w:val="decimal"/>
      <w:suff w:val="nothing"/>
      <w:lvlText w:val="（%1）"/>
      <w:lvlJc w:val="left"/>
    </w:lvl>
  </w:abstractNum>
  <w:abstractNum w:abstractNumId="2">
    <w:nsid w:val="C3435D0C"/>
    <w:multiLevelType w:val="singleLevel"/>
    <w:tmpl w:val="C3435D0C"/>
    <w:lvl w:ilvl="0" w:tentative="0">
      <w:start w:val="1"/>
      <w:numFmt w:val="decimal"/>
      <w:suff w:val="nothing"/>
      <w:lvlText w:val="%1、"/>
      <w:lvlJc w:val="left"/>
    </w:lvl>
  </w:abstractNum>
  <w:abstractNum w:abstractNumId="3">
    <w:nsid w:val="C856E97C"/>
    <w:multiLevelType w:val="singleLevel"/>
    <w:tmpl w:val="C856E97C"/>
    <w:lvl w:ilvl="0" w:tentative="0">
      <w:start w:val="11"/>
      <w:numFmt w:val="decimal"/>
      <w:suff w:val="nothing"/>
      <w:lvlText w:val="%1、"/>
      <w:lvlJc w:val="left"/>
    </w:lvl>
  </w:abstractNum>
  <w:abstractNum w:abstractNumId="4">
    <w:nsid w:val="D09CB613"/>
    <w:multiLevelType w:val="singleLevel"/>
    <w:tmpl w:val="D09CB613"/>
    <w:lvl w:ilvl="0" w:tentative="0">
      <w:start w:val="1"/>
      <w:numFmt w:val="decimal"/>
      <w:suff w:val="nothing"/>
      <w:lvlText w:val="（%1）"/>
      <w:lvlJc w:val="left"/>
    </w:lvl>
  </w:abstractNum>
  <w:abstractNum w:abstractNumId="5">
    <w:nsid w:val="D5E8F99D"/>
    <w:multiLevelType w:val="singleLevel"/>
    <w:tmpl w:val="D5E8F99D"/>
    <w:lvl w:ilvl="0" w:tentative="0">
      <w:start w:val="1"/>
      <w:numFmt w:val="decimal"/>
      <w:suff w:val="nothing"/>
      <w:lvlText w:val="%1、"/>
      <w:lvlJc w:val="left"/>
    </w:lvl>
  </w:abstractNum>
  <w:abstractNum w:abstractNumId="6">
    <w:nsid w:val="E107DB11"/>
    <w:multiLevelType w:val="singleLevel"/>
    <w:tmpl w:val="E107DB11"/>
    <w:lvl w:ilvl="0" w:tentative="0">
      <w:start w:val="1"/>
      <w:numFmt w:val="decimal"/>
      <w:suff w:val="nothing"/>
      <w:lvlText w:val="（%1）"/>
      <w:lvlJc w:val="left"/>
      <w:pPr>
        <w:ind w:left="240"/>
      </w:pPr>
    </w:lvl>
  </w:abstractNum>
  <w:abstractNum w:abstractNumId="7">
    <w:nsid w:val="FDC196D2"/>
    <w:multiLevelType w:val="singleLevel"/>
    <w:tmpl w:val="FDC196D2"/>
    <w:lvl w:ilvl="0" w:tentative="0">
      <w:start w:val="1"/>
      <w:numFmt w:val="upperLetter"/>
      <w:suff w:val="nothing"/>
      <w:lvlText w:val="%1、"/>
      <w:lvlJc w:val="left"/>
    </w:lvl>
  </w:abstractNum>
  <w:abstractNum w:abstractNumId="8">
    <w:nsid w:val="FFA930C2"/>
    <w:multiLevelType w:val="singleLevel"/>
    <w:tmpl w:val="FFA930C2"/>
    <w:lvl w:ilvl="0" w:tentative="0">
      <w:start w:val="1"/>
      <w:numFmt w:val="decimal"/>
      <w:suff w:val="nothing"/>
      <w:lvlText w:val="%1、"/>
      <w:lvlJc w:val="left"/>
    </w:lvl>
  </w:abstractNum>
  <w:abstractNum w:abstractNumId="9">
    <w:nsid w:val="02B45C08"/>
    <w:multiLevelType w:val="singleLevel"/>
    <w:tmpl w:val="02B45C08"/>
    <w:lvl w:ilvl="0" w:tentative="0">
      <w:start w:val="1"/>
      <w:numFmt w:val="decimal"/>
      <w:lvlText w:val="%1."/>
      <w:lvlJc w:val="left"/>
      <w:pPr>
        <w:tabs>
          <w:tab w:val="left" w:pos="312"/>
        </w:tabs>
      </w:pPr>
    </w:lvl>
  </w:abstractNum>
  <w:abstractNum w:abstractNumId="10">
    <w:nsid w:val="1CF47F42"/>
    <w:multiLevelType w:val="singleLevel"/>
    <w:tmpl w:val="1CF47F42"/>
    <w:lvl w:ilvl="0" w:tentative="0">
      <w:start w:val="1"/>
      <w:numFmt w:val="decimal"/>
      <w:lvlText w:val="%1."/>
      <w:lvlJc w:val="left"/>
      <w:pPr>
        <w:tabs>
          <w:tab w:val="left" w:pos="312"/>
        </w:tabs>
      </w:pPr>
    </w:lvl>
  </w:abstractNum>
  <w:abstractNum w:abstractNumId="11">
    <w:nsid w:val="434F65BE"/>
    <w:multiLevelType w:val="singleLevel"/>
    <w:tmpl w:val="434F65BE"/>
    <w:lvl w:ilvl="0" w:tentative="0">
      <w:start w:val="1"/>
      <w:numFmt w:val="decimal"/>
      <w:lvlText w:val="%1."/>
      <w:lvlJc w:val="left"/>
      <w:pPr>
        <w:tabs>
          <w:tab w:val="left" w:pos="312"/>
        </w:tabs>
      </w:pPr>
    </w:lvl>
  </w:abstractNum>
  <w:abstractNum w:abstractNumId="12">
    <w:nsid w:val="62029935"/>
    <w:multiLevelType w:val="singleLevel"/>
    <w:tmpl w:val="62029935"/>
    <w:lvl w:ilvl="0" w:tentative="0">
      <w:start w:val="1"/>
      <w:numFmt w:val="decimal"/>
      <w:suff w:val="nothing"/>
      <w:lvlText w:val="%1、"/>
      <w:lvlJc w:val="left"/>
    </w:lvl>
  </w:abstractNum>
  <w:abstractNum w:abstractNumId="13">
    <w:nsid w:val="76CB65FD"/>
    <w:multiLevelType w:val="singleLevel"/>
    <w:tmpl w:val="76CB65FD"/>
    <w:lvl w:ilvl="0" w:tentative="0">
      <w:start w:val="1"/>
      <w:numFmt w:val="decimal"/>
      <w:lvlText w:val="%1."/>
      <w:lvlJc w:val="left"/>
      <w:pPr>
        <w:tabs>
          <w:tab w:val="left" w:pos="312"/>
        </w:tabs>
      </w:pPr>
    </w:lvl>
  </w:abstractNum>
  <w:num w:numId="1">
    <w:abstractNumId w:val="0"/>
  </w:num>
  <w:num w:numId="2">
    <w:abstractNumId w:val="11"/>
  </w:num>
  <w:num w:numId="3">
    <w:abstractNumId w:val="10"/>
  </w:num>
  <w:num w:numId="4">
    <w:abstractNumId w:val="13"/>
  </w:num>
  <w:num w:numId="5">
    <w:abstractNumId w:val="9"/>
  </w:num>
  <w:num w:numId="6">
    <w:abstractNumId w:val="3"/>
  </w:num>
  <w:num w:numId="7">
    <w:abstractNumId w:val="2"/>
  </w:num>
  <w:num w:numId="8">
    <w:abstractNumId w:val="5"/>
  </w:num>
  <w:num w:numId="9">
    <w:abstractNumId w:val="8"/>
  </w:num>
  <w:num w:numId="10">
    <w:abstractNumId w:val="12"/>
  </w:num>
  <w:num w:numId="11">
    <w:abstractNumId w:val="6"/>
  </w:num>
  <w:num w:numId="12">
    <w:abstractNumId w:val="7"/>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ZGM0MWViOTQ2ZmQzZjgzNGI1ZWM4ZGIzMWFlYTEifQ=="/>
  </w:docVars>
  <w:rsids>
    <w:rsidRoot w:val="00172A27"/>
    <w:rsid w:val="000060B3"/>
    <w:rsid w:val="00007AA5"/>
    <w:rsid w:val="0004364B"/>
    <w:rsid w:val="00061B1F"/>
    <w:rsid w:val="000733C4"/>
    <w:rsid w:val="00074783"/>
    <w:rsid w:val="000758C3"/>
    <w:rsid w:val="0008070B"/>
    <w:rsid w:val="000810AC"/>
    <w:rsid w:val="00081A02"/>
    <w:rsid w:val="00082231"/>
    <w:rsid w:val="00092D38"/>
    <w:rsid w:val="0009377B"/>
    <w:rsid w:val="000A15F0"/>
    <w:rsid w:val="000A20C9"/>
    <w:rsid w:val="000B058F"/>
    <w:rsid w:val="000B4467"/>
    <w:rsid w:val="000B4DB9"/>
    <w:rsid w:val="000C09AC"/>
    <w:rsid w:val="000C767F"/>
    <w:rsid w:val="000D5A44"/>
    <w:rsid w:val="000E3ED2"/>
    <w:rsid w:val="00114960"/>
    <w:rsid w:val="00122C77"/>
    <w:rsid w:val="00131F42"/>
    <w:rsid w:val="001357F1"/>
    <w:rsid w:val="00140FA8"/>
    <w:rsid w:val="00142FEB"/>
    <w:rsid w:val="00143A2D"/>
    <w:rsid w:val="00145A41"/>
    <w:rsid w:val="00151675"/>
    <w:rsid w:val="00155EE4"/>
    <w:rsid w:val="00157435"/>
    <w:rsid w:val="00172A27"/>
    <w:rsid w:val="0017504D"/>
    <w:rsid w:val="0017671A"/>
    <w:rsid w:val="00177422"/>
    <w:rsid w:val="00184590"/>
    <w:rsid w:val="001870D1"/>
    <w:rsid w:val="0018781E"/>
    <w:rsid w:val="0019262D"/>
    <w:rsid w:val="001A1B35"/>
    <w:rsid w:val="001A48A2"/>
    <w:rsid w:val="001A6F61"/>
    <w:rsid w:val="001B72B8"/>
    <w:rsid w:val="001C69B3"/>
    <w:rsid w:val="001D5595"/>
    <w:rsid w:val="001D7874"/>
    <w:rsid w:val="001D7F22"/>
    <w:rsid w:val="001F0F17"/>
    <w:rsid w:val="001F3347"/>
    <w:rsid w:val="001F69E4"/>
    <w:rsid w:val="0020719D"/>
    <w:rsid w:val="002125B4"/>
    <w:rsid w:val="002155B8"/>
    <w:rsid w:val="00224839"/>
    <w:rsid w:val="002249B2"/>
    <w:rsid w:val="00226574"/>
    <w:rsid w:val="002278EC"/>
    <w:rsid w:val="0023280E"/>
    <w:rsid w:val="002377D1"/>
    <w:rsid w:val="002506BC"/>
    <w:rsid w:val="00254345"/>
    <w:rsid w:val="00264557"/>
    <w:rsid w:val="002805AB"/>
    <w:rsid w:val="00281AB7"/>
    <w:rsid w:val="00284204"/>
    <w:rsid w:val="00291773"/>
    <w:rsid w:val="00297969"/>
    <w:rsid w:val="002A168C"/>
    <w:rsid w:val="002A2BDE"/>
    <w:rsid w:val="002A3DC7"/>
    <w:rsid w:val="002B49E2"/>
    <w:rsid w:val="002B7B00"/>
    <w:rsid w:val="002B7C44"/>
    <w:rsid w:val="002C2B17"/>
    <w:rsid w:val="002D3DD0"/>
    <w:rsid w:val="002E1F3A"/>
    <w:rsid w:val="002E298A"/>
    <w:rsid w:val="00301978"/>
    <w:rsid w:val="0030332C"/>
    <w:rsid w:val="003051C2"/>
    <w:rsid w:val="00312296"/>
    <w:rsid w:val="00314F0E"/>
    <w:rsid w:val="00321D8E"/>
    <w:rsid w:val="00325928"/>
    <w:rsid w:val="00332863"/>
    <w:rsid w:val="0033684D"/>
    <w:rsid w:val="00337B42"/>
    <w:rsid w:val="00341B42"/>
    <w:rsid w:val="0034348F"/>
    <w:rsid w:val="00346F62"/>
    <w:rsid w:val="00356653"/>
    <w:rsid w:val="0035743F"/>
    <w:rsid w:val="00357BE2"/>
    <w:rsid w:val="0036170C"/>
    <w:rsid w:val="00366E0F"/>
    <w:rsid w:val="003701A5"/>
    <w:rsid w:val="00381A72"/>
    <w:rsid w:val="00384676"/>
    <w:rsid w:val="00390857"/>
    <w:rsid w:val="003A4BF3"/>
    <w:rsid w:val="003B420D"/>
    <w:rsid w:val="003C6C16"/>
    <w:rsid w:val="003D794D"/>
    <w:rsid w:val="003E3058"/>
    <w:rsid w:val="003E76A9"/>
    <w:rsid w:val="003F0809"/>
    <w:rsid w:val="003F6A8C"/>
    <w:rsid w:val="003F755C"/>
    <w:rsid w:val="00406F01"/>
    <w:rsid w:val="00416D50"/>
    <w:rsid w:val="00416FD5"/>
    <w:rsid w:val="00417772"/>
    <w:rsid w:val="00420E6A"/>
    <w:rsid w:val="00425A9E"/>
    <w:rsid w:val="00426D6B"/>
    <w:rsid w:val="00431E6C"/>
    <w:rsid w:val="00433CE7"/>
    <w:rsid w:val="0044661B"/>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401AE"/>
    <w:rsid w:val="00542E07"/>
    <w:rsid w:val="00545424"/>
    <w:rsid w:val="00554A7B"/>
    <w:rsid w:val="0055572C"/>
    <w:rsid w:val="005557F4"/>
    <w:rsid w:val="0056106A"/>
    <w:rsid w:val="005720AE"/>
    <w:rsid w:val="00594D77"/>
    <w:rsid w:val="005969E4"/>
    <w:rsid w:val="005A06B7"/>
    <w:rsid w:val="005A1759"/>
    <w:rsid w:val="005A68A7"/>
    <w:rsid w:val="005C5BE9"/>
    <w:rsid w:val="005D36AB"/>
    <w:rsid w:val="00617CC3"/>
    <w:rsid w:val="006377A6"/>
    <w:rsid w:val="00637A3D"/>
    <w:rsid w:val="006411EF"/>
    <w:rsid w:val="0064660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22E1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D5ED6"/>
    <w:rsid w:val="007E4BD2"/>
    <w:rsid w:val="00801393"/>
    <w:rsid w:val="00802F88"/>
    <w:rsid w:val="0081293E"/>
    <w:rsid w:val="00815465"/>
    <w:rsid w:val="00817E9A"/>
    <w:rsid w:val="008225D1"/>
    <w:rsid w:val="008306BD"/>
    <w:rsid w:val="00831A80"/>
    <w:rsid w:val="00833743"/>
    <w:rsid w:val="008340A4"/>
    <w:rsid w:val="0087135F"/>
    <w:rsid w:val="00872D94"/>
    <w:rsid w:val="00880364"/>
    <w:rsid w:val="00884795"/>
    <w:rsid w:val="00891592"/>
    <w:rsid w:val="00891E9E"/>
    <w:rsid w:val="008A2F68"/>
    <w:rsid w:val="008A5427"/>
    <w:rsid w:val="008B4FA6"/>
    <w:rsid w:val="008B5282"/>
    <w:rsid w:val="008B7C17"/>
    <w:rsid w:val="008C2D01"/>
    <w:rsid w:val="008C40E6"/>
    <w:rsid w:val="008D0F7A"/>
    <w:rsid w:val="008D2455"/>
    <w:rsid w:val="008D68E4"/>
    <w:rsid w:val="008E0506"/>
    <w:rsid w:val="008E0CFF"/>
    <w:rsid w:val="008E5D6B"/>
    <w:rsid w:val="008E76F0"/>
    <w:rsid w:val="008F15FE"/>
    <w:rsid w:val="008F2D29"/>
    <w:rsid w:val="008F5187"/>
    <w:rsid w:val="008F60D8"/>
    <w:rsid w:val="00902727"/>
    <w:rsid w:val="0090312B"/>
    <w:rsid w:val="0091736D"/>
    <w:rsid w:val="00925A54"/>
    <w:rsid w:val="0093037A"/>
    <w:rsid w:val="0094154D"/>
    <w:rsid w:val="0095155F"/>
    <w:rsid w:val="00954429"/>
    <w:rsid w:val="009563CE"/>
    <w:rsid w:val="00960453"/>
    <w:rsid w:val="00976328"/>
    <w:rsid w:val="0097680D"/>
    <w:rsid w:val="00982438"/>
    <w:rsid w:val="0098404C"/>
    <w:rsid w:val="00985283"/>
    <w:rsid w:val="009878D4"/>
    <w:rsid w:val="00995992"/>
    <w:rsid w:val="009A03E5"/>
    <w:rsid w:val="009A0F3B"/>
    <w:rsid w:val="009A1BB4"/>
    <w:rsid w:val="009A2628"/>
    <w:rsid w:val="009A3200"/>
    <w:rsid w:val="009B0897"/>
    <w:rsid w:val="009B47D3"/>
    <w:rsid w:val="009B7BD9"/>
    <w:rsid w:val="009C1E37"/>
    <w:rsid w:val="009C7DD5"/>
    <w:rsid w:val="009E227D"/>
    <w:rsid w:val="009E5019"/>
    <w:rsid w:val="00A04F1B"/>
    <w:rsid w:val="00A0501B"/>
    <w:rsid w:val="00A14947"/>
    <w:rsid w:val="00A32A83"/>
    <w:rsid w:val="00A368DB"/>
    <w:rsid w:val="00A423AA"/>
    <w:rsid w:val="00A53EC6"/>
    <w:rsid w:val="00A55C0F"/>
    <w:rsid w:val="00A8713F"/>
    <w:rsid w:val="00A90BA1"/>
    <w:rsid w:val="00A97A9A"/>
    <w:rsid w:val="00AA0671"/>
    <w:rsid w:val="00AA2531"/>
    <w:rsid w:val="00AB1E09"/>
    <w:rsid w:val="00AB5330"/>
    <w:rsid w:val="00AB7747"/>
    <w:rsid w:val="00AC14CE"/>
    <w:rsid w:val="00AC2A56"/>
    <w:rsid w:val="00AC72B9"/>
    <w:rsid w:val="00AD055E"/>
    <w:rsid w:val="00AD47A7"/>
    <w:rsid w:val="00AF0CBF"/>
    <w:rsid w:val="00AF257F"/>
    <w:rsid w:val="00AF33CF"/>
    <w:rsid w:val="00AF4D50"/>
    <w:rsid w:val="00AF6179"/>
    <w:rsid w:val="00B1295A"/>
    <w:rsid w:val="00B20A45"/>
    <w:rsid w:val="00B22C5C"/>
    <w:rsid w:val="00B24F30"/>
    <w:rsid w:val="00B30398"/>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3E59"/>
    <w:rsid w:val="00C140E2"/>
    <w:rsid w:val="00C15C95"/>
    <w:rsid w:val="00C2596A"/>
    <w:rsid w:val="00C27537"/>
    <w:rsid w:val="00C328FE"/>
    <w:rsid w:val="00C33507"/>
    <w:rsid w:val="00C4409D"/>
    <w:rsid w:val="00C44E72"/>
    <w:rsid w:val="00C45A06"/>
    <w:rsid w:val="00C47E5B"/>
    <w:rsid w:val="00C54BFA"/>
    <w:rsid w:val="00C61E4B"/>
    <w:rsid w:val="00C64BFF"/>
    <w:rsid w:val="00C704E9"/>
    <w:rsid w:val="00C763C9"/>
    <w:rsid w:val="00C80057"/>
    <w:rsid w:val="00C82232"/>
    <w:rsid w:val="00C82913"/>
    <w:rsid w:val="00C972B1"/>
    <w:rsid w:val="00CA2CCE"/>
    <w:rsid w:val="00CA43FD"/>
    <w:rsid w:val="00CA7EF8"/>
    <w:rsid w:val="00CC489B"/>
    <w:rsid w:val="00CD2BCD"/>
    <w:rsid w:val="00CD3A4C"/>
    <w:rsid w:val="00CE10E9"/>
    <w:rsid w:val="00CE2910"/>
    <w:rsid w:val="00CE5393"/>
    <w:rsid w:val="00CF36BE"/>
    <w:rsid w:val="00CF6000"/>
    <w:rsid w:val="00D003F3"/>
    <w:rsid w:val="00D0364F"/>
    <w:rsid w:val="00D06834"/>
    <w:rsid w:val="00D27499"/>
    <w:rsid w:val="00D308ED"/>
    <w:rsid w:val="00D36D86"/>
    <w:rsid w:val="00D428AA"/>
    <w:rsid w:val="00D50A34"/>
    <w:rsid w:val="00D53EFA"/>
    <w:rsid w:val="00D94A7C"/>
    <w:rsid w:val="00D95896"/>
    <w:rsid w:val="00DB2983"/>
    <w:rsid w:val="00DC1257"/>
    <w:rsid w:val="00DC3DC0"/>
    <w:rsid w:val="00DC5B2B"/>
    <w:rsid w:val="00DD318D"/>
    <w:rsid w:val="00DE52B3"/>
    <w:rsid w:val="00DF2E12"/>
    <w:rsid w:val="00DF514A"/>
    <w:rsid w:val="00DF6690"/>
    <w:rsid w:val="00DF6804"/>
    <w:rsid w:val="00E0358D"/>
    <w:rsid w:val="00E04323"/>
    <w:rsid w:val="00E070A2"/>
    <w:rsid w:val="00E2656A"/>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1290F7E"/>
    <w:rsid w:val="015D1E09"/>
    <w:rsid w:val="023A0979"/>
    <w:rsid w:val="025E6E70"/>
    <w:rsid w:val="02697903"/>
    <w:rsid w:val="02CE17E8"/>
    <w:rsid w:val="02F96569"/>
    <w:rsid w:val="03E32E24"/>
    <w:rsid w:val="03EA7B21"/>
    <w:rsid w:val="050977E4"/>
    <w:rsid w:val="05A418C5"/>
    <w:rsid w:val="05F83EAE"/>
    <w:rsid w:val="063E7D85"/>
    <w:rsid w:val="06BC16B7"/>
    <w:rsid w:val="06C8546C"/>
    <w:rsid w:val="071E235D"/>
    <w:rsid w:val="07293586"/>
    <w:rsid w:val="07295285"/>
    <w:rsid w:val="07636392"/>
    <w:rsid w:val="07770C56"/>
    <w:rsid w:val="07D417D1"/>
    <w:rsid w:val="08CF3A1C"/>
    <w:rsid w:val="092217DD"/>
    <w:rsid w:val="093A7294"/>
    <w:rsid w:val="096B666F"/>
    <w:rsid w:val="09F11A89"/>
    <w:rsid w:val="0A263993"/>
    <w:rsid w:val="0A2D3AC2"/>
    <w:rsid w:val="0A5B099B"/>
    <w:rsid w:val="0AA755DF"/>
    <w:rsid w:val="0B120D44"/>
    <w:rsid w:val="0BD27BF6"/>
    <w:rsid w:val="0BF6515C"/>
    <w:rsid w:val="0C3B3C7D"/>
    <w:rsid w:val="0CAB2EAE"/>
    <w:rsid w:val="0CBE69FC"/>
    <w:rsid w:val="0CD21042"/>
    <w:rsid w:val="0D163515"/>
    <w:rsid w:val="0D554205"/>
    <w:rsid w:val="0D621C7D"/>
    <w:rsid w:val="0E73034D"/>
    <w:rsid w:val="0F13775A"/>
    <w:rsid w:val="0F266DEE"/>
    <w:rsid w:val="0F5F45FE"/>
    <w:rsid w:val="0F7F7C47"/>
    <w:rsid w:val="0F973A36"/>
    <w:rsid w:val="0F9A112B"/>
    <w:rsid w:val="106D2F64"/>
    <w:rsid w:val="10B63710"/>
    <w:rsid w:val="10E419CE"/>
    <w:rsid w:val="10ED6DF4"/>
    <w:rsid w:val="10F10820"/>
    <w:rsid w:val="111C2F7A"/>
    <w:rsid w:val="11665CA1"/>
    <w:rsid w:val="125644B4"/>
    <w:rsid w:val="13863086"/>
    <w:rsid w:val="13951726"/>
    <w:rsid w:val="14396509"/>
    <w:rsid w:val="148F7DC8"/>
    <w:rsid w:val="14DD2C3C"/>
    <w:rsid w:val="15504418"/>
    <w:rsid w:val="16087E1D"/>
    <w:rsid w:val="160968B4"/>
    <w:rsid w:val="163A5A4A"/>
    <w:rsid w:val="169861F5"/>
    <w:rsid w:val="17701D14"/>
    <w:rsid w:val="17735226"/>
    <w:rsid w:val="17920BDE"/>
    <w:rsid w:val="17AD5AB9"/>
    <w:rsid w:val="1853696F"/>
    <w:rsid w:val="18773EE6"/>
    <w:rsid w:val="189F624C"/>
    <w:rsid w:val="18BB32EC"/>
    <w:rsid w:val="1900654D"/>
    <w:rsid w:val="1A1C66C0"/>
    <w:rsid w:val="1A42393B"/>
    <w:rsid w:val="1AAD45DE"/>
    <w:rsid w:val="1ABF19F0"/>
    <w:rsid w:val="1B046F80"/>
    <w:rsid w:val="1B3267B5"/>
    <w:rsid w:val="1B40161D"/>
    <w:rsid w:val="1B441859"/>
    <w:rsid w:val="1B6606B1"/>
    <w:rsid w:val="1B8234FE"/>
    <w:rsid w:val="1BE01212"/>
    <w:rsid w:val="1C121460"/>
    <w:rsid w:val="1C3B6FA3"/>
    <w:rsid w:val="1C5E7925"/>
    <w:rsid w:val="1CFD070F"/>
    <w:rsid w:val="1D5F6196"/>
    <w:rsid w:val="1D6132A5"/>
    <w:rsid w:val="1D8E56D5"/>
    <w:rsid w:val="1E3459F3"/>
    <w:rsid w:val="1E4234B3"/>
    <w:rsid w:val="1E7A43DA"/>
    <w:rsid w:val="1EC51C94"/>
    <w:rsid w:val="1FE7539E"/>
    <w:rsid w:val="20671BE0"/>
    <w:rsid w:val="20963CB8"/>
    <w:rsid w:val="20A81A1B"/>
    <w:rsid w:val="20B07FB6"/>
    <w:rsid w:val="20B646FB"/>
    <w:rsid w:val="213B74B1"/>
    <w:rsid w:val="215A2310"/>
    <w:rsid w:val="21DE318A"/>
    <w:rsid w:val="21EF5B80"/>
    <w:rsid w:val="22023A3F"/>
    <w:rsid w:val="22576990"/>
    <w:rsid w:val="228255C7"/>
    <w:rsid w:val="22F47480"/>
    <w:rsid w:val="23DE1C48"/>
    <w:rsid w:val="23E21115"/>
    <w:rsid w:val="240210CD"/>
    <w:rsid w:val="24042DCE"/>
    <w:rsid w:val="24BF09F7"/>
    <w:rsid w:val="252D53FE"/>
    <w:rsid w:val="25C951DE"/>
    <w:rsid w:val="25EC2D81"/>
    <w:rsid w:val="277057A2"/>
    <w:rsid w:val="27777633"/>
    <w:rsid w:val="27991DA4"/>
    <w:rsid w:val="27B83AD8"/>
    <w:rsid w:val="285274CA"/>
    <w:rsid w:val="28E02043"/>
    <w:rsid w:val="29206EB8"/>
    <w:rsid w:val="29595666"/>
    <w:rsid w:val="29874881"/>
    <w:rsid w:val="29E325E0"/>
    <w:rsid w:val="2A452503"/>
    <w:rsid w:val="2B6763B7"/>
    <w:rsid w:val="2BA936A8"/>
    <w:rsid w:val="2BFE0905"/>
    <w:rsid w:val="2C315A5A"/>
    <w:rsid w:val="2C4B1C25"/>
    <w:rsid w:val="2CB67262"/>
    <w:rsid w:val="2CB865DE"/>
    <w:rsid w:val="2CF133BC"/>
    <w:rsid w:val="2D71156A"/>
    <w:rsid w:val="2D9E56F5"/>
    <w:rsid w:val="2DC52560"/>
    <w:rsid w:val="2E667F96"/>
    <w:rsid w:val="2E8226AB"/>
    <w:rsid w:val="2EA303F5"/>
    <w:rsid w:val="2ED752A3"/>
    <w:rsid w:val="2F317C62"/>
    <w:rsid w:val="2FD065E6"/>
    <w:rsid w:val="2FD96870"/>
    <w:rsid w:val="2FFB399F"/>
    <w:rsid w:val="30580BC9"/>
    <w:rsid w:val="30750F12"/>
    <w:rsid w:val="311E2ED7"/>
    <w:rsid w:val="315619EE"/>
    <w:rsid w:val="315C449C"/>
    <w:rsid w:val="319720F1"/>
    <w:rsid w:val="31B82709"/>
    <w:rsid w:val="31D05482"/>
    <w:rsid w:val="32400B34"/>
    <w:rsid w:val="32766FB2"/>
    <w:rsid w:val="32773112"/>
    <w:rsid w:val="329E6876"/>
    <w:rsid w:val="32E077EE"/>
    <w:rsid w:val="333015F2"/>
    <w:rsid w:val="334B6320"/>
    <w:rsid w:val="335D72CC"/>
    <w:rsid w:val="33D934D4"/>
    <w:rsid w:val="33FE2F6A"/>
    <w:rsid w:val="340E07E5"/>
    <w:rsid w:val="34235BF7"/>
    <w:rsid w:val="34EA78AE"/>
    <w:rsid w:val="358B5111"/>
    <w:rsid w:val="358C5FA8"/>
    <w:rsid w:val="35C15DF1"/>
    <w:rsid w:val="35E91EEA"/>
    <w:rsid w:val="36074A7F"/>
    <w:rsid w:val="36923549"/>
    <w:rsid w:val="36B75FBF"/>
    <w:rsid w:val="36BD0C45"/>
    <w:rsid w:val="36DB3AEF"/>
    <w:rsid w:val="375C0D33"/>
    <w:rsid w:val="37E00298"/>
    <w:rsid w:val="383711FC"/>
    <w:rsid w:val="387D5196"/>
    <w:rsid w:val="38B302F9"/>
    <w:rsid w:val="38F12CD3"/>
    <w:rsid w:val="38F94775"/>
    <w:rsid w:val="392971ED"/>
    <w:rsid w:val="39325651"/>
    <w:rsid w:val="39BA1BA2"/>
    <w:rsid w:val="3A872856"/>
    <w:rsid w:val="3AD82C9D"/>
    <w:rsid w:val="3B3763D1"/>
    <w:rsid w:val="3BB2661D"/>
    <w:rsid w:val="3C2F6E1E"/>
    <w:rsid w:val="3C4F64BA"/>
    <w:rsid w:val="3CDA245A"/>
    <w:rsid w:val="3D1E06B7"/>
    <w:rsid w:val="3E5F2AE2"/>
    <w:rsid w:val="3E6F727A"/>
    <w:rsid w:val="3EB6558E"/>
    <w:rsid w:val="3EDA0523"/>
    <w:rsid w:val="401C4F28"/>
    <w:rsid w:val="407A6407"/>
    <w:rsid w:val="41082F6C"/>
    <w:rsid w:val="41125264"/>
    <w:rsid w:val="41726C4E"/>
    <w:rsid w:val="4200449D"/>
    <w:rsid w:val="423A3BCC"/>
    <w:rsid w:val="424E57D2"/>
    <w:rsid w:val="426F3ACA"/>
    <w:rsid w:val="42B26C49"/>
    <w:rsid w:val="43153E38"/>
    <w:rsid w:val="433A6FE6"/>
    <w:rsid w:val="43480868"/>
    <w:rsid w:val="4350713C"/>
    <w:rsid w:val="436653E0"/>
    <w:rsid w:val="437A37D6"/>
    <w:rsid w:val="43C4431A"/>
    <w:rsid w:val="442D0EB7"/>
    <w:rsid w:val="44810252"/>
    <w:rsid w:val="44B951CC"/>
    <w:rsid w:val="44CD14E0"/>
    <w:rsid w:val="44F20B0B"/>
    <w:rsid w:val="452E5F4C"/>
    <w:rsid w:val="45612018"/>
    <w:rsid w:val="458946E9"/>
    <w:rsid w:val="45A47C0E"/>
    <w:rsid w:val="45AA0E12"/>
    <w:rsid w:val="460E3E6D"/>
    <w:rsid w:val="46577FD6"/>
    <w:rsid w:val="46C4033F"/>
    <w:rsid w:val="46D955A7"/>
    <w:rsid w:val="47133957"/>
    <w:rsid w:val="47A07E0C"/>
    <w:rsid w:val="480D68C9"/>
    <w:rsid w:val="4870272E"/>
    <w:rsid w:val="48F97EB9"/>
    <w:rsid w:val="498D6E16"/>
    <w:rsid w:val="49DC7715"/>
    <w:rsid w:val="49EA20A0"/>
    <w:rsid w:val="4A023139"/>
    <w:rsid w:val="4A7B576F"/>
    <w:rsid w:val="4AF561A9"/>
    <w:rsid w:val="4C4A0649"/>
    <w:rsid w:val="4C7E5ECA"/>
    <w:rsid w:val="4C876AA5"/>
    <w:rsid w:val="4D0E00FB"/>
    <w:rsid w:val="4D176606"/>
    <w:rsid w:val="4D1B2411"/>
    <w:rsid w:val="4D797868"/>
    <w:rsid w:val="4DA859C3"/>
    <w:rsid w:val="4DEC4FB0"/>
    <w:rsid w:val="4E075D8A"/>
    <w:rsid w:val="4E24297A"/>
    <w:rsid w:val="4EC00FAD"/>
    <w:rsid w:val="4F8741A1"/>
    <w:rsid w:val="4F9843DC"/>
    <w:rsid w:val="4FC62A8C"/>
    <w:rsid w:val="4FCE757D"/>
    <w:rsid w:val="4FE20F0D"/>
    <w:rsid w:val="4FE51552"/>
    <w:rsid w:val="502E76A5"/>
    <w:rsid w:val="50504C4B"/>
    <w:rsid w:val="506E537C"/>
    <w:rsid w:val="509C6E7C"/>
    <w:rsid w:val="50B76E07"/>
    <w:rsid w:val="5162104E"/>
    <w:rsid w:val="5178029F"/>
    <w:rsid w:val="51B54EB6"/>
    <w:rsid w:val="530006AA"/>
    <w:rsid w:val="53A039CC"/>
    <w:rsid w:val="53A1505A"/>
    <w:rsid w:val="54063E08"/>
    <w:rsid w:val="543437E8"/>
    <w:rsid w:val="54F0717B"/>
    <w:rsid w:val="54F73313"/>
    <w:rsid w:val="54F80955"/>
    <w:rsid w:val="555170A7"/>
    <w:rsid w:val="5587536D"/>
    <w:rsid w:val="559B174B"/>
    <w:rsid w:val="55CE0CF4"/>
    <w:rsid w:val="5607514E"/>
    <w:rsid w:val="56B22A9C"/>
    <w:rsid w:val="575B0869"/>
    <w:rsid w:val="57B72A76"/>
    <w:rsid w:val="57C3426C"/>
    <w:rsid w:val="57CE1F93"/>
    <w:rsid w:val="584D19EF"/>
    <w:rsid w:val="588743D1"/>
    <w:rsid w:val="5887701A"/>
    <w:rsid w:val="59C0439F"/>
    <w:rsid w:val="5ABE2233"/>
    <w:rsid w:val="5B305D11"/>
    <w:rsid w:val="5BDF5D95"/>
    <w:rsid w:val="5BFE7528"/>
    <w:rsid w:val="5CDB32C1"/>
    <w:rsid w:val="5CDC5607"/>
    <w:rsid w:val="5D057B2B"/>
    <w:rsid w:val="5E2467F1"/>
    <w:rsid w:val="5F1A2B43"/>
    <w:rsid w:val="5F205C00"/>
    <w:rsid w:val="5F3A2900"/>
    <w:rsid w:val="5F6F03B0"/>
    <w:rsid w:val="5F8B10C6"/>
    <w:rsid w:val="5FB837BB"/>
    <w:rsid w:val="60271A82"/>
    <w:rsid w:val="6065645C"/>
    <w:rsid w:val="60CB525C"/>
    <w:rsid w:val="60CC405A"/>
    <w:rsid w:val="61C57FC0"/>
    <w:rsid w:val="61E215D8"/>
    <w:rsid w:val="621B3775"/>
    <w:rsid w:val="62364782"/>
    <w:rsid w:val="62545890"/>
    <w:rsid w:val="6394356A"/>
    <w:rsid w:val="63C61B2C"/>
    <w:rsid w:val="63D40BE9"/>
    <w:rsid w:val="64102431"/>
    <w:rsid w:val="641A522D"/>
    <w:rsid w:val="64841C29"/>
    <w:rsid w:val="64A5243A"/>
    <w:rsid w:val="64F531DE"/>
    <w:rsid w:val="65373578"/>
    <w:rsid w:val="65687D37"/>
    <w:rsid w:val="658B6113"/>
    <w:rsid w:val="66F00D8C"/>
    <w:rsid w:val="66FC36B1"/>
    <w:rsid w:val="671F124A"/>
    <w:rsid w:val="67363E13"/>
    <w:rsid w:val="677A33C6"/>
    <w:rsid w:val="67E93CEB"/>
    <w:rsid w:val="681F6961"/>
    <w:rsid w:val="68370BE0"/>
    <w:rsid w:val="685B39E8"/>
    <w:rsid w:val="68610A2F"/>
    <w:rsid w:val="68805514"/>
    <w:rsid w:val="69316E2F"/>
    <w:rsid w:val="694E2071"/>
    <w:rsid w:val="69766163"/>
    <w:rsid w:val="697A3B33"/>
    <w:rsid w:val="69D44760"/>
    <w:rsid w:val="6A520EC7"/>
    <w:rsid w:val="6AF87E20"/>
    <w:rsid w:val="6B322639"/>
    <w:rsid w:val="6BF01628"/>
    <w:rsid w:val="6C636C38"/>
    <w:rsid w:val="6DB34098"/>
    <w:rsid w:val="6DB545B6"/>
    <w:rsid w:val="6DE02FB4"/>
    <w:rsid w:val="6E514CED"/>
    <w:rsid w:val="6E735734"/>
    <w:rsid w:val="6EB563D5"/>
    <w:rsid w:val="6ED92677"/>
    <w:rsid w:val="6F225983"/>
    <w:rsid w:val="6F8420FA"/>
    <w:rsid w:val="6FAE12EA"/>
    <w:rsid w:val="6FFC5590"/>
    <w:rsid w:val="706D1DD0"/>
    <w:rsid w:val="70856B87"/>
    <w:rsid w:val="70D527EE"/>
    <w:rsid w:val="70FE5575"/>
    <w:rsid w:val="71430857"/>
    <w:rsid w:val="715B5300"/>
    <w:rsid w:val="71D27F8A"/>
    <w:rsid w:val="724D5513"/>
    <w:rsid w:val="72553024"/>
    <w:rsid w:val="72696AE0"/>
    <w:rsid w:val="728E4947"/>
    <w:rsid w:val="72AA0928"/>
    <w:rsid w:val="730A7168"/>
    <w:rsid w:val="73122968"/>
    <w:rsid w:val="731F5D5E"/>
    <w:rsid w:val="73C51AD5"/>
    <w:rsid w:val="73CF0C2B"/>
    <w:rsid w:val="741E793C"/>
    <w:rsid w:val="7445564D"/>
    <w:rsid w:val="745E3944"/>
    <w:rsid w:val="75A863A8"/>
    <w:rsid w:val="7635099D"/>
    <w:rsid w:val="76603DB1"/>
    <w:rsid w:val="766706BD"/>
    <w:rsid w:val="76A41AB8"/>
    <w:rsid w:val="772B7660"/>
    <w:rsid w:val="77762421"/>
    <w:rsid w:val="77903967"/>
    <w:rsid w:val="77B56B1F"/>
    <w:rsid w:val="780F09F4"/>
    <w:rsid w:val="78A90480"/>
    <w:rsid w:val="79F5485C"/>
    <w:rsid w:val="7A0E5D4B"/>
    <w:rsid w:val="7A2C4336"/>
    <w:rsid w:val="7A364017"/>
    <w:rsid w:val="7A4259A3"/>
    <w:rsid w:val="7A4343E0"/>
    <w:rsid w:val="7A8265E1"/>
    <w:rsid w:val="7B147B14"/>
    <w:rsid w:val="7B686D42"/>
    <w:rsid w:val="7B841746"/>
    <w:rsid w:val="7C027023"/>
    <w:rsid w:val="7C6C5AC7"/>
    <w:rsid w:val="7C745E87"/>
    <w:rsid w:val="7CC6544B"/>
    <w:rsid w:val="7CC70BC5"/>
    <w:rsid w:val="7D0239FF"/>
    <w:rsid w:val="7D5E40CD"/>
    <w:rsid w:val="7D975A1A"/>
    <w:rsid w:val="7DCD56F2"/>
    <w:rsid w:val="7DFF3C6B"/>
    <w:rsid w:val="7E261267"/>
    <w:rsid w:val="7E400BC9"/>
    <w:rsid w:val="7F001CE7"/>
    <w:rsid w:val="7F7939B1"/>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iPriority="99" w:semiHidden="0" w:name="Body Text Indent 2" w:locked="1"/>
    <w:lsdException w:unhideWhenUsed="0" w:uiPriority="0" w:semiHidden="0" w:name="Body Text Indent 3" w:locked="1"/>
    <w:lsdException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72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3"/>
    <w:basedOn w:val="1"/>
    <w:next w:val="1"/>
    <w:qFormat/>
    <w:locked/>
    <w:uiPriority w:val="0"/>
    <w:pPr>
      <w:keepNext/>
      <w:keepLines/>
      <w:spacing w:before="260" w:after="260" w:line="416" w:lineRule="auto"/>
      <w:outlineLvl w:val="2"/>
    </w:pPr>
    <w:rPr>
      <w:b/>
      <w:bCs/>
      <w:sz w:val="32"/>
      <w:szCs w:val="32"/>
    </w:rPr>
  </w:style>
  <w:style w:type="paragraph" w:styleId="5">
    <w:name w:val="heading 4"/>
    <w:basedOn w:val="1"/>
    <w:next w:val="1"/>
    <w:qFormat/>
    <w:locked/>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locked/>
    <w:uiPriority w:val="0"/>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locked/>
    <w:uiPriority w:val="99"/>
    <w:pPr>
      <w:spacing w:after="120" w:line="480" w:lineRule="auto"/>
      <w:ind w:left="420" w:leftChars="200"/>
    </w:pPr>
    <w:rPr>
      <w:rFonts w:ascii="Times New Roman" w:hAnsi="Times New Roman" w:eastAsia="宋体" w:cs="Times New Roman"/>
      <w:szCs w:val="20"/>
    </w:rPr>
  </w:style>
  <w:style w:type="paragraph" w:styleId="7">
    <w:name w:val="Normal Indent"/>
    <w:basedOn w:val="1"/>
    <w:next w:val="1"/>
    <w:qFormat/>
    <w:locked/>
    <w:uiPriority w:val="0"/>
    <w:pPr>
      <w:ind w:firstLine="420"/>
    </w:pPr>
    <w:rPr>
      <w:szCs w:val="20"/>
    </w:rPr>
  </w:style>
  <w:style w:type="paragraph" w:styleId="8">
    <w:name w:val="annotation text"/>
    <w:basedOn w:val="1"/>
    <w:link w:val="30"/>
    <w:semiHidden/>
    <w:qFormat/>
    <w:uiPriority w:val="0"/>
    <w:pPr>
      <w:jc w:val="left"/>
    </w:pPr>
    <w:rPr>
      <w:kern w:val="0"/>
      <w:szCs w:val="20"/>
    </w:rPr>
  </w:style>
  <w:style w:type="paragraph" w:styleId="9">
    <w:name w:val="Body Text"/>
    <w:basedOn w:val="1"/>
    <w:next w:val="1"/>
    <w:link w:val="31"/>
    <w:qFormat/>
    <w:uiPriority w:val="0"/>
    <w:pPr>
      <w:widowControl/>
      <w:snapToGrid w:val="0"/>
      <w:spacing w:before="60" w:after="160" w:line="259" w:lineRule="auto"/>
      <w:ind w:right="113"/>
    </w:pPr>
    <w:rPr>
      <w:kern w:val="0"/>
      <w:sz w:val="18"/>
      <w:szCs w:val="20"/>
    </w:rPr>
  </w:style>
  <w:style w:type="paragraph" w:styleId="10">
    <w:name w:val="Body Text Indent"/>
    <w:basedOn w:val="1"/>
    <w:next w:val="9"/>
    <w:link w:val="32"/>
    <w:qFormat/>
    <w:uiPriority w:val="0"/>
    <w:pPr>
      <w:spacing w:after="120"/>
      <w:ind w:left="420" w:leftChars="200"/>
    </w:pPr>
    <w:rPr>
      <w:kern w:val="0"/>
      <w:szCs w:val="20"/>
    </w:rPr>
  </w:style>
  <w:style w:type="paragraph" w:styleId="11">
    <w:name w:val="Plain Text"/>
    <w:basedOn w:val="1"/>
    <w:qFormat/>
    <w:locked/>
    <w:uiPriority w:val="0"/>
    <w:rPr>
      <w:rFonts w:ascii="宋体" w:hAnsi="Courier New"/>
      <w:szCs w:val="20"/>
    </w:rPr>
  </w:style>
  <w:style w:type="paragraph" w:styleId="12">
    <w:name w:val="Date"/>
    <w:basedOn w:val="1"/>
    <w:next w:val="1"/>
    <w:link w:val="33"/>
    <w:qFormat/>
    <w:uiPriority w:val="0"/>
    <w:pPr>
      <w:ind w:left="100" w:leftChars="2500"/>
    </w:pPr>
    <w:rPr>
      <w:kern w:val="0"/>
      <w:szCs w:val="20"/>
    </w:rPr>
  </w:style>
  <w:style w:type="paragraph" w:styleId="13">
    <w:name w:val="Balloon Text"/>
    <w:basedOn w:val="1"/>
    <w:link w:val="34"/>
    <w:semiHidden/>
    <w:qFormat/>
    <w:uiPriority w:val="0"/>
    <w:rPr>
      <w:kern w:val="0"/>
      <w:sz w:val="18"/>
      <w:szCs w:val="20"/>
    </w:rPr>
  </w:style>
  <w:style w:type="paragraph" w:styleId="14">
    <w:name w:val="footer"/>
    <w:basedOn w:val="1"/>
    <w:link w:val="35"/>
    <w:qFormat/>
    <w:uiPriority w:val="99"/>
    <w:pPr>
      <w:tabs>
        <w:tab w:val="center" w:pos="4153"/>
        <w:tab w:val="right" w:pos="8306"/>
      </w:tabs>
      <w:snapToGrid w:val="0"/>
      <w:jc w:val="left"/>
    </w:pPr>
    <w:rPr>
      <w:kern w:val="0"/>
      <w:sz w:val="18"/>
      <w:szCs w:val="20"/>
    </w:rPr>
  </w:style>
  <w:style w:type="paragraph" w:styleId="15">
    <w:name w:val="header"/>
    <w:basedOn w:val="1"/>
    <w:link w:val="36"/>
    <w:qFormat/>
    <w:uiPriority w:val="0"/>
    <w:pPr>
      <w:pBdr>
        <w:bottom w:val="single" w:color="auto" w:sz="6" w:space="1"/>
      </w:pBdr>
      <w:tabs>
        <w:tab w:val="center" w:pos="4153"/>
        <w:tab w:val="right" w:pos="8306"/>
      </w:tabs>
      <w:snapToGrid w:val="0"/>
      <w:jc w:val="center"/>
    </w:pPr>
    <w:rPr>
      <w:kern w:val="0"/>
      <w:sz w:val="18"/>
      <w:szCs w:val="20"/>
    </w:rPr>
  </w:style>
  <w:style w:type="paragraph" w:styleId="16">
    <w:name w:val="toc 1"/>
    <w:basedOn w:val="1"/>
    <w:next w:val="1"/>
    <w:qFormat/>
    <w:locked/>
    <w:uiPriority w:val="39"/>
  </w:style>
  <w:style w:type="paragraph" w:styleId="17">
    <w:name w:val="Normal (Web)"/>
    <w:basedOn w:val="1"/>
    <w:link w:val="37"/>
    <w:qFormat/>
    <w:uiPriority w:val="0"/>
    <w:pPr>
      <w:widowControl/>
      <w:spacing w:before="100" w:beforeAutospacing="1" w:after="100" w:afterAutospacing="1"/>
      <w:jc w:val="left"/>
    </w:pPr>
    <w:rPr>
      <w:rFonts w:ascii="宋体" w:hAnsi="宋体"/>
      <w:kern w:val="0"/>
      <w:szCs w:val="20"/>
    </w:rPr>
  </w:style>
  <w:style w:type="paragraph" w:styleId="18">
    <w:name w:val="annotation subject"/>
    <w:basedOn w:val="8"/>
    <w:next w:val="8"/>
    <w:link w:val="38"/>
    <w:semiHidden/>
    <w:qFormat/>
    <w:uiPriority w:val="0"/>
    <w:rPr>
      <w:b/>
    </w:rPr>
  </w:style>
  <w:style w:type="paragraph" w:styleId="19">
    <w:name w:val="Body Text First Indent 2"/>
    <w:basedOn w:val="10"/>
    <w:next w:val="1"/>
    <w:qFormat/>
    <w:locked/>
    <w:uiPriority w:val="0"/>
    <w:pPr>
      <w:adjustRightInd/>
      <w:snapToGrid/>
      <w:spacing w:line="240" w:lineRule="auto"/>
      <w:ind w:firstLine="420" w:firstLineChars="200"/>
    </w:pPr>
    <w:rPr>
      <w:rFonts w:ascii="Times New Roman" w:eastAsia="宋体"/>
      <w:sz w:val="21"/>
      <w:szCs w:val="20"/>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qFormat/>
    <w:locked/>
    <w:uiPriority w:val="0"/>
  </w:style>
  <w:style w:type="character" w:styleId="24">
    <w:name w:val="Hyperlink"/>
    <w:basedOn w:val="22"/>
    <w:unhideWhenUsed/>
    <w:qFormat/>
    <w:locked/>
    <w:uiPriority w:val="99"/>
    <w:rPr>
      <w:color w:val="0000FF" w:themeColor="hyperlink"/>
      <w:u w:val="single"/>
      <w14:textFill>
        <w14:solidFill>
          <w14:schemeClr w14:val="hlink"/>
        </w14:solidFill>
      </w14:textFill>
    </w:rPr>
  </w:style>
  <w:style w:type="character" w:styleId="25">
    <w:name w:val="annotation reference"/>
    <w:semiHidden/>
    <w:qFormat/>
    <w:uiPriority w:val="0"/>
    <w:rPr>
      <w:sz w:val="21"/>
    </w:rPr>
  </w:style>
  <w:style w:type="paragraph" w:customStyle="1" w:styleId="2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Default"/>
    <w:basedOn w:val="28"/>
    <w:next w:val="19"/>
    <w:unhideWhenUsed/>
    <w:qFormat/>
    <w:uiPriority w:val="99"/>
    <w:pPr>
      <w:widowControl w:val="0"/>
      <w:autoSpaceDE w:val="0"/>
      <w:autoSpaceDN w:val="0"/>
      <w:adjustRightInd w:val="0"/>
    </w:pPr>
    <w:rPr>
      <w:rFonts w:hint="eastAsia" w:ascii="宋体" w:hAnsi="宋体" w:eastAsia="宋体" w:cs="Times New Roman"/>
      <w:color w:val="000000"/>
      <w:sz w:val="24"/>
      <w:szCs w:val="24"/>
      <w:lang w:val="en-US" w:eastAsia="zh-CN" w:bidi="ar-SA"/>
    </w:rPr>
  </w:style>
  <w:style w:type="paragraph" w:customStyle="1" w:styleId="28">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9">
    <w:name w:val="纯文本1"/>
    <w:basedOn w:val="1"/>
    <w:qFormat/>
    <w:uiPriority w:val="0"/>
    <w:pPr>
      <w:adjustRightInd w:val="0"/>
      <w:textAlignment w:val="baseline"/>
    </w:pPr>
    <w:rPr>
      <w:rFonts w:ascii="宋体" w:hAnsi="Courier New"/>
      <w:szCs w:val="20"/>
    </w:rPr>
  </w:style>
  <w:style w:type="character" w:customStyle="1" w:styleId="30">
    <w:name w:val="批注文字 Char"/>
    <w:link w:val="8"/>
    <w:qFormat/>
    <w:locked/>
    <w:uiPriority w:val="0"/>
    <w:rPr>
      <w:rFonts w:ascii="Times New Roman" w:hAnsi="Times New Roman" w:eastAsia="宋体"/>
      <w:sz w:val="24"/>
    </w:rPr>
  </w:style>
  <w:style w:type="character" w:customStyle="1" w:styleId="31">
    <w:name w:val="正文文本 Char"/>
    <w:link w:val="9"/>
    <w:qFormat/>
    <w:locked/>
    <w:uiPriority w:val="0"/>
    <w:rPr>
      <w:sz w:val="18"/>
    </w:rPr>
  </w:style>
  <w:style w:type="character" w:customStyle="1" w:styleId="32">
    <w:name w:val="正文文本缩进 Char"/>
    <w:link w:val="10"/>
    <w:semiHidden/>
    <w:qFormat/>
    <w:locked/>
    <w:uiPriority w:val="0"/>
    <w:rPr>
      <w:rFonts w:ascii="Times New Roman" w:hAnsi="Times New Roman" w:eastAsia="宋体"/>
      <w:sz w:val="24"/>
    </w:rPr>
  </w:style>
  <w:style w:type="character" w:customStyle="1" w:styleId="33">
    <w:name w:val="日期 Char"/>
    <w:link w:val="12"/>
    <w:qFormat/>
    <w:locked/>
    <w:uiPriority w:val="0"/>
    <w:rPr>
      <w:rFonts w:ascii="Times New Roman" w:hAnsi="Times New Roman" w:eastAsia="宋体"/>
      <w:sz w:val="24"/>
    </w:rPr>
  </w:style>
  <w:style w:type="character" w:customStyle="1" w:styleId="34">
    <w:name w:val="批注框文本 Char"/>
    <w:link w:val="13"/>
    <w:semiHidden/>
    <w:qFormat/>
    <w:locked/>
    <w:uiPriority w:val="0"/>
    <w:rPr>
      <w:rFonts w:ascii="Times New Roman" w:hAnsi="Times New Roman" w:eastAsia="宋体"/>
      <w:sz w:val="18"/>
    </w:rPr>
  </w:style>
  <w:style w:type="character" w:customStyle="1" w:styleId="35">
    <w:name w:val="页脚 Char"/>
    <w:link w:val="14"/>
    <w:qFormat/>
    <w:locked/>
    <w:uiPriority w:val="99"/>
    <w:rPr>
      <w:sz w:val="18"/>
    </w:rPr>
  </w:style>
  <w:style w:type="character" w:customStyle="1" w:styleId="36">
    <w:name w:val="页眉 Char"/>
    <w:link w:val="15"/>
    <w:qFormat/>
    <w:locked/>
    <w:uiPriority w:val="0"/>
    <w:rPr>
      <w:sz w:val="18"/>
    </w:rPr>
  </w:style>
  <w:style w:type="character" w:customStyle="1" w:styleId="37">
    <w:name w:val="普通(网站) Char"/>
    <w:link w:val="17"/>
    <w:qFormat/>
    <w:locked/>
    <w:uiPriority w:val="0"/>
    <w:rPr>
      <w:rFonts w:ascii="宋体" w:hAnsi="宋体" w:eastAsia="宋体"/>
      <w:sz w:val="24"/>
    </w:rPr>
  </w:style>
  <w:style w:type="character" w:customStyle="1" w:styleId="38">
    <w:name w:val="批注主题 Char"/>
    <w:link w:val="18"/>
    <w:semiHidden/>
    <w:qFormat/>
    <w:locked/>
    <w:uiPriority w:val="0"/>
    <w:rPr>
      <w:rFonts w:ascii="Times New Roman" w:hAnsi="Times New Roman" w:eastAsia="宋体"/>
      <w:b/>
      <w:kern w:val="2"/>
      <w:sz w:val="24"/>
    </w:rPr>
  </w:style>
  <w:style w:type="character" w:customStyle="1" w:styleId="39">
    <w:name w:val="表格 Char"/>
    <w:link w:val="40"/>
    <w:qFormat/>
    <w:locked/>
    <w:uiPriority w:val="0"/>
    <w:rPr>
      <w:rFonts w:ascii="宋体"/>
      <w:sz w:val="21"/>
    </w:rPr>
  </w:style>
  <w:style w:type="paragraph" w:customStyle="1" w:styleId="40">
    <w:name w:val="表格"/>
    <w:basedOn w:val="1"/>
    <w:next w:val="1"/>
    <w:link w:val="39"/>
    <w:qFormat/>
    <w:uiPriority w:val="0"/>
    <w:pPr>
      <w:adjustRightInd w:val="0"/>
      <w:snapToGrid w:val="0"/>
      <w:spacing w:beforeLines="10" w:afterLines="10" w:line="259" w:lineRule="auto"/>
      <w:jc w:val="center"/>
    </w:pPr>
    <w:rPr>
      <w:rFonts w:ascii="宋体"/>
      <w:kern w:val="0"/>
      <w:szCs w:val="20"/>
    </w:rPr>
  </w:style>
  <w:style w:type="character" w:customStyle="1" w:styleId="41">
    <w:name w:val="日期 字符"/>
    <w:semiHidden/>
    <w:qFormat/>
    <w:uiPriority w:val="0"/>
    <w:rPr>
      <w:rFonts w:ascii="Times New Roman" w:hAnsi="Times New Roman" w:eastAsia="宋体"/>
      <w:sz w:val="24"/>
    </w:rPr>
  </w:style>
  <w:style w:type="character" w:customStyle="1" w:styleId="42">
    <w:name w:val="正文文本 字符1"/>
    <w:semiHidden/>
    <w:qFormat/>
    <w:uiPriority w:val="0"/>
    <w:rPr>
      <w:rFonts w:ascii="Times New Roman" w:hAnsi="Times New Roman" w:eastAsia="宋体"/>
      <w:sz w:val="24"/>
    </w:rPr>
  </w:style>
  <w:style w:type="character" w:customStyle="1" w:styleId="43">
    <w:name w:val="批注文字 字符1"/>
    <w:semiHidden/>
    <w:qFormat/>
    <w:uiPriority w:val="0"/>
    <w:rPr>
      <w:rFonts w:ascii="Times New Roman" w:hAnsi="Times New Roman" w:eastAsia="宋体"/>
      <w:sz w:val="24"/>
    </w:rPr>
  </w:style>
  <w:style w:type="character" w:customStyle="1" w:styleId="44">
    <w:name w:val="页脚 字符"/>
    <w:qFormat/>
    <w:uiPriority w:val="99"/>
  </w:style>
  <w:style w:type="paragraph" w:customStyle="1" w:styleId="45">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普通(网站)2"/>
    <w:basedOn w:val="1"/>
    <w:qFormat/>
    <w:uiPriority w:val="0"/>
    <w:pPr>
      <w:widowControl/>
      <w:spacing w:before="100" w:beforeAutospacing="1" w:after="100" w:afterAutospacing="1"/>
      <w:jc w:val="left"/>
    </w:pPr>
    <w:rPr>
      <w:rFonts w:ascii="宋体" w:hAnsi="宋体"/>
      <w:szCs w:val="20"/>
    </w:rPr>
  </w:style>
  <w:style w:type="paragraph" w:customStyle="1" w:styleId="47">
    <w:name w:val="正文首行缩进 2 + Times New Roman"/>
    <w:basedOn w:val="1"/>
    <w:qFormat/>
    <w:uiPriority w:val="0"/>
    <w:pPr>
      <w:tabs>
        <w:tab w:val="left" w:pos="0"/>
        <w:tab w:val="left" w:pos="870"/>
        <w:tab w:val="left" w:pos="3150"/>
      </w:tabs>
      <w:autoSpaceDE w:val="0"/>
      <w:autoSpaceDN w:val="0"/>
      <w:spacing w:line="360" w:lineRule="auto"/>
      <w:ind w:firstLine="480"/>
      <w:jc w:val="left"/>
    </w:pPr>
  </w:style>
  <w:style w:type="paragraph" w:customStyle="1" w:styleId="48">
    <w:name w:val="4级（小）标题"/>
    <w:basedOn w:val="1"/>
    <w:qFormat/>
    <w:uiPriority w:val="0"/>
    <w:pPr>
      <w:spacing w:before="60"/>
      <w:ind w:firstLine="150" w:firstLineChars="150"/>
      <w:outlineLvl w:val="3"/>
    </w:pPr>
    <w:rPr>
      <w:b/>
    </w:rPr>
  </w:style>
  <w:style w:type="paragraph" w:customStyle="1" w:styleId="49">
    <w:name w:val="环评正文"/>
    <w:basedOn w:val="1"/>
    <w:qFormat/>
    <w:uiPriority w:val="0"/>
    <w:pPr>
      <w:spacing w:line="360" w:lineRule="auto"/>
    </w:pPr>
    <w:rPr>
      <w:rFonts w:ascii="宋体" w:hAnsi="宋体" w:cs="宋体"/>
    </w:rPr>
  </w:style>
  <w:style w:type="paragraph" w:customStyle="1" w:styleId="50">
    <w:name w:val="Table Paragraph"/>
    <w:basedOn w:val="1"/>
    <w:qFormat/>
    <w:uiPriority w:val="1"/>
    <w:rPr>
      <w:rFonts w:ascii="仿宋" w:hAnsi="仿宋" w:eastAsia="仿宋" w:cs="仿宋"/>
      <w:lang w:val="zh-CN" w:bidi="zh-CN"/>
    </w:rPr>
  </w:style>
  <w:style w:type="paragraph" w:customStyle="1" w:styleId="51">
    <w:name w:val="表1-1"/>
    <w:basedOn w:val="1"/>
    <w:next w:val="1"/>
    <w:qFormat/>
    <w:uiPriority w:val="0"/>
    <w:pPr>
      <w:spacing w:line="480" w:lineRule="exact"/>
      <w:jc w:val="center"/>
    </w:pPr>
    <w:rPr>
      <w:rFonts w:ascii="幼圆" w:hAnsi="幼圆" w:cs="幼圆"/>
      <w:b/>
      <w:color w:val="000000"/>
      <w:spacing w:val="-4"/>
      <w:szCs w:val="21"/>
    </w:rPr>
  </w:style>
  <w:style w:type="paragraph" w:customStyle="1" w:styleId="52">
    <w:name w:val="标题5-ckg"/>
    <w:basedOn w:val="6"/>
    <w:qFormat/>
    <w:uiPriority w:val="0"/>
    <w:pPr>
      <w:tabs>
        <w:tab w:val="left" w:pos="432"/>
        <w:tab w:val="left" w:pos="700"/>
      </w:tabs>
      <w:autoSpaceDE w:val="0"/>
      <w:autoSpaceDN w:val="0"/>
      <w:spacing w:before="0" w:after="0" w:line="460" w:lineRule="exact"/>
      <w:jc w:val="center"/>
    </w:pPr>
    <w:rPr>
      <w:bCs w:val="0"/>
      <w:sz w:val="24"/>
      <w:szCs w:val="21"/>
    </w:rPr>
  </w:style>
  <w:style w:type="character" w:customStyle="1" w:styleId="53">
    <w:name w:val="font11"/>
    <w:qFormat/>
    <w:uiPriority w:val="0"/>
    <w:rPr>
      <w:rFonts w:hint="eastAsia" w:ascii="宋体" w:hAnsi="宋体" w:eastAsia="宋体" w:cs="宋体"/>
      <w:b/>
      <w:bCs/>
      <w:color w:val="000000"/>
      <w:sz w:val="18"/>
      <w:szCs w:val="18"/>
      <w:u w:val="none"/>
    </w:rPr>
  </w:style>
  <w:style w:type="character" w:customStyle="1" w:styleId="54">
    <w:name w:val="font21"/>
    <w:qFormat/>
    <w:uiPriority w:val="0"/>
    <w:rPr>
      <w:rFonts w:hint="default" w:ascii="Times New Roman" w:hAnsi="Times New Roman" w:cs="Times New Roman"/>
      <w:b/>
      <w:bCs/>
      <w:color w:val="000000"/>
      <w:sz w:val="18"/>
      <w:szCs w:val="18"/>
      <w:u w:val="none"/>
    </w:rPr>
  </w:style>
  <w:style w:type="character" w:customStyle="1" w:styleId="55">
    <w:name w:val="font61"/>
    <w:qFormat/>
    <w:uiPriority w:val="0"/>
    <w:rPr>
      <w:rFonts w:hint="default" w:ascii="Times New Roman" w:hAnsi="Times New Roman" w:cs="Times New Roman"/>
      <w:b/>
      <w:bCs/>
      <w:color w:val="000000"/>
      <w:sz w:val="18"/>
      <w:szCs w:val="18"/>
      <w:u w:val="none"/>
      <w:vertAlign w:val="superscript"/>
    </w:rPr>
  </w:style>
  <w:style w:type="character" w:customStyle="1" w:styleId="56">
    <w:name w:val="font31"/>
    <w:qFormat/>
    <w:uiPriority w:val="0"/>
    <w:rPr>
      <w:rFonts w:hint="eastAsia" w:ascii="宋体" w:hAnsi="宋体" w:eastAsia="宋体" w:cs="宋体"/>
      <w:color w:val="000000"/>
      <w:sz w:val="18"/>
      <w:szCs w:val="18"/>
      <w:u w:val="none"/>
    </w:rPr>
  </w:style>
  <w:style w:type="character" w:customStyle="1" w:styleId="57">
    <w:name w:val="font51"/>
    <w:qFormat/>
    <w:uiPriority w:val="0"/>
    <w:rPr>
      <w:rFonts w:hint="default" w:ascii="Times New Roman" w:hAnsi="Times New Roman" w:cs="Times New Roman"/>
      <w:color w:val="000000"/>
      <w:sz w:val="18"/>
      <w:szCs w:val="18"/>
      <w:u w:val="none"/>
    </w:rPr>
  </w:style>
  <w:style w:type="paragraph" w:customStyle="1" w:styleId="58">
    <w:name w:val="表内文字2"/>
    <w:basedOn w:val="59"/>
    <w:qFormat/>
    <w:uiPriority w:val="0"/>
    <w:rPr>
      <w:b/>
    </w:rPr>
  </w:style>
  <w:style w:type="paragraph" w:customStyle="1" w:styleId="59">
    <w:name w:val="表内文字1"/>
    <w:basedOn w:val="1"/>
    <w:qFormat/>
    <w:uiPriority w:val="0"/>
    <w:pPr>
      <w:adjustRightInd w:val="0"/>
      <w:snapToGrid w:val="0"/>
      <w:jc w:val="center"/>
    </w:pPr>
    <w:rPr>
      <w:snapToGrid w:val="0"/>
      <w:kern w:val="0"/>
      <w:szCs w:val="20"/>
    </w:rPr>
  </w:style>
  <w:style w:type="character" w:customStyle="1" w:styleId="60">
    <w:name w:val="14pttext1"/>
    <w:qFormat/>
    <w:uiPriority w:val="0"/>
    <w:rPr>
      <w:sz w:val="21"/>
      <w:szCs w:val="21"/>
    </w:rPr>
  </w:style>
  <w:style w:type="paragraph" w:customStyle="1" w:styleId="61">
    <w:name w:val="报告正文-连续目录"/>
    <w:basedOn w:val="1"/>
    <w:qFormat/>
    <w:uiPriority w:val="0"/>
    <w:pPr>
      <w:ind w:firstLine="200"/>
    </w:pPr>
    <w:rPr>
      <w:rFonts w:ascii="Arial" w:hAnsi="Arial"/>
      <w:snapToGrid w:val="0"/>
      <w:kern w:val="0"/>
    </w:rPr>
  </w:style>
  <w:style w:type="paragraph" w:customStyle="1" w:styleId="62">
    <w:name w:val="正文王"/>
    <w:basedOn w:val="63"/>
    <w:semiHidden/>
    <w:qFormat/>
    <w:uiPriority w:val="0"/>
    <w:pPr>
      <w:spacing w:beforeLines="0" w:afterLines="0"/>
      <w:outlineLvl w:val="9"/>
    </w:pPr>
    <w:rPr>
      <w:rFonts w:eastAsia="宋体"/>
      <w:b w:val="0"/>
      <w:sz w:val="24"/>
    </w:rPr>
  </w:style>
  <w:style w:type="paragraph" w:customStyle="1" w:styleId="63">
    <w:name w:val="标题三王"/>
    <w:basedOn w:val="64"/>
    <w:semiHidden/>
    <w:qFormat/>
    <w:uiPriority w:val="0"/>
    <w:pPr>
      <w:spacing w:beforeLines="50" w:afterLines="20"/>
      <w:outlineLvl w:val="2"/>
    </w:pPr>
    <w:rPr>
      <w:sz w:val="28"/>
    </w:rPr>
  </w:style>
  <w:style w:type="paragraph" w:customStyle="1" w:styleId="64">
    <w:name w:val="标题二王"/>
    <w:basedOn w:val="1"/>
    <w:semiHidden/>
    <w:qFormat/>
    <w:uiPriority w:val="0"/>
    <w:pPr>
      <w:spacing w:beforeLines="100" w:afterLines="50" w:line="360" w:lineRule="auto"/>
      <w:outlineLvl w:val="1"/>
    </w:pPr>
    <w:rPr>
      <w:rFonts w:eastAsia="黑体"/>
      <w:b/>
      <w:sz w:val="32"/>
    </w:rPr>
  </w:style>
  <w:style w:type="paragraph" w:customStyle="1" w:styleId="65">
    <w:name w:val="标题4 非连续"/>
    <w:basedOn w:val="1"/>
    <w:qFormat/>
    <w:uiPriority w:val="0"/>
    <w:pPr>
      <w:keepNext/>
      <w:keepLines/>
      <w:ind w:left="994" w:hanging="994"/>
      <w:outlineLvl w:val="3"/>
    </w:pPr>
    <w:rPr>
      <w:rFonts w:ascii="Arial" w:hAnsi="Arial"/>
      <w:bCs/>
      <w:kern w:val="0"/>
      <w:szCs w:val="28"/>
    </w:rPr>
  </w:style>
  <w:style w:type="paragraph" w:customStyle="1" w:styleId="66">
    <w:name w:val="11111111111"/>
    <w:basedOn w:val="1"/>
    <w:qFormat/>
    <w:uiPriority w:val="0"/>
    <w:pPr>
      <w:spacing w:line="480" w:lineRule="exact"/>
      <w:jc w:val="center"/>
    </w:pPr>
    <w:rPr>
      <w:rFonts w:ascii="Calibri" w:hAnsi="Calibri"/>
      <w:b/>
    </w:rPr>
  </w:style>
  <w:style w:type="paragraph" w:customStyle="1" w:styleId="67">
    <w:name w:val="WPSOffice手动目录 1"/>
    <w:qFormat/>
    <w:uiPriority w:val="0"/>
    <w:rPr>
      <w:rFonts w:ascii="Times New Roman" w:hAnsi="Times New Roman" w:eastAsia="宋体" w:cs="Times New Roman"/>
      <w:lang w:val="en-US" w:eastAsia="zh-CN" w:bidi="ar-SA"/>
    </w:rPr>
  </w:style>
  <w:style w:type="paragraph" w:customStyle="1" w:styleId="68">
    <w:name w:val="0报告正文"/>
    <w:basedOn w:val="1"/>
    <w:qFormat/>
    <w:uiPriority w:val="0"/>
    <w:pPr>
      <w:spacing w:line="360" w:lineRule="auto"/>
      <w:ind w:firstLine="200"/>
    </w:pPr>
    <w:rPr>
      <w:kern w:val="0"/>
      <w:szCs w:val="20"/>
    </w:rPr>
  </w:style>
  <w:style w:type="paragraph" w:customStyle="1" w:styleId="69">
    <w:name w:val="嘉环表格文字"/>
    <w:qFormat/>
    <w:uiPriority w:val="0"/>
    <w:pPr>
      <w:snapToGrid w:val="0"/>
      <w:spacing w:line="320" w:lineRule="exact"/>
      <w:jc w:val="center"/>
    </w:pPr>
    <w:rPr>
      <w:rFonts w:ascii="Times New Roman" w:hAnsi="Times New Roman" w:eastAsia="仿宋_GB2312" w:cs="Times New Roman"/>
      <w:kern w:val="2"/>
      <w:sz w:val="21"/>
      <w:szCs w:val="21"/>
      <w:lang w:val="en-US" w:eastAsia="zh-CN" w:bidi="ar-SA"/>
    </w:rPr>
  </w:style>
  <w:style w:type="paragraph" w:customStyle="1" w:styleId="70">
    <w:name w:val="正文1"/>
    <w:basedOn w:val="1"/>
    <w:qFormat/>
    <w:uiPriority w:val="0"/>
    <w:pPr>
      <w:snapToGrid w:val="0"/>
      <w:spacing w:before="31" w:beforeLines="10" w:line="440" w:lineRule="atLeast"/>
      <w:ind w:firstLine="567"/>
    </w:pPr>
    <w:rPr>
      <w:sz w:val="24"/>
      <w:szCs w:val="24"/>
    </w:rPr>
  </w:style>
  <w:style w:type="paragraph" w:styleId="71">
    <w:name w:val="List Paragraph"/>
    <w:basedOn w:val="1"/>
    <w:qFormat/>
    <w:uiPriority w:val="99"/>
  </w:style>
  <w:style w:type="table" w:customStyle="1" w:styleId="72">
    <w:name w:val="网格型8"/>
    <w:basedOn w:val="20"/>
    <w:qFormat/>
    <w:uiPriority w:val="0"/>
    <w:rPr>
      <w:rFonts w:ascii="宋体" w:hAnsi="宋体"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表格样式"/>
    <w:basedOn w:val="20"/>
    <w:qFormat/>
    <w:uiPriority w:val="99"/>
    <w:pPr>
      <w:adjustRightInd w:val="0"/>
      <w:snapToGrid w:val="0"/>
      <w:jc w:val="center"/>
    </w:pPr>
    <w:rPr>
      <w:sz w:val="24"/>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trPr>
      <w:jc w:val="center"/>
    </w:trPr>
    <w:tcPr>
      <w:vAlign w:val="center"/>
    </w:tcPr>
    <w:tblStylePr w:type="firstRow">
      <w:pPr>
        <w:jc w:val="center"/>
      </w:pPr>
      <w:rPr>
        <w:rFonts w:ascii="Times New Roman" w:hAnsi="Times New Roman" w:eastAsia="宋体"/>
        <w:b/>
        <w:i w:val="0"/>
        <w:sz w:val="24"/>
      </w:r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pct10" w:color="auto" w:fill="auto"/>
      </w:tcPr>
    </w:tblStylePr>
  </w:style>
  <w:style w:type="paragraph" w:customStyle="1" w:styleId="74">
    <w:name w:val="报告"/>
    <w:basedOn w:val="1"/>
    <w:qFormat/>
    <w:uiPriority w:val="0"/>
    <w:pPr>
      <w:adjustRightInd w:val="0"/>
      <w:spacing w:line="360" w:lineRule="auto"/>
      <w:ind w:firstLine="505" w:firstLineChars="200"/>
      <w:jc w:val="left"/>
      <w:textAlignment w:val="baseline"/>
    </w:pPr>
    <w:rPr>
      <w:kern w:val="0"/>
      <w:sz w:val="24"/>
      <w:szCs w:val="20"/>
    </w:rPr>
  </w:style>
  <w:style w:type="paragraph" w:customStyle="1" w:styleId="75">
    <w:name w:val="正文内容"/>
    <w:basedOn w:val="1"/>
    <w:qFormat/>
    <w:uiPriority w:val="0"/>
    <w:pPr>
      <w:spacing w:line="312" w:lineRule="auto"/>
      <w:ind w:firstLine="480" w:firstLineChars="200"/>
      <w:outlineLvl w:val="9"/>
    </w:pPr>
    <w:rPr>
      <w:rFonts w:ascii="Times New Roman" w:hAnsi="Times New Roman" w:eastAsia="宋体"/>
      <w:sz w:val="24"/>
      <w:szCs w:val="24"/>
    </w:rPr>
  </w:style>
  <w:style w:type="paragraph" w:customStyle="1" w:styleId="76">
    <w:name w:val="6表格内容"/>
    <w:basedOn w:val="68"/>
    <w:next w:val="68"/>
    <w:qFormat/>
    <w:uiPriority w:val="0"/>
    <w:pPr>
      <w:spacing w:line="240" w:lineRule="auto"/>
      <w:ind w:firstLine="0" w:firstLineChars="0"/>
      <w:jc w:val="center"/>
    </w:pPr>
    <w:rPr>
      <w:sz w:val="21"/>
    </w:rPr>
  </w:style>
  <w:style w:type="paragraph" w:customStyle="1" w:styleId="77">
    <w:name w:val="表格标题"/>
    <w:basedOn w:val="1"/>
    <w:next w:val="78"/>
    <w:qFormat/>
    <w:uiPriority w:val="0"/>
    <w:pPr>
      <w:spacing w:line="240" w:lineRule="auto"/>
      <w:ind w:firstLine="0" w:firstLineChars="0"/>
      <w:jc w:val="center"/>
    </w:pPr>
    <w:rPr>
      <w:b/>
    </w:rPr>
  </w:style>
  <w:style w:type="paragraph" w:customStyle="1" w:styleId="78">
    <w:name w:val="表格内容"/>
    <w:basedOn w:val="77"/>
    <w:next w:val="1"/>
    <w:qFormat/>
    <w:uiPriority w:val="0"/>
    <w:pPr>
      <w:spacing w:line="240" w:lineRule="auto"/>
    </w:pPr>
    <w:rPr>
      <w:b w:val="0"/>
      <w:sz w:val="21"/>
    </w:rPr>
  </w:style>
  <w:style w:type="paragraph" w:customStyle="1" w:styleId="79">
    <w:name w:val="常用表格样式"/>
    <w:basedOn w:val="80"/>
    <w:next w:val="1"/>
    <w:qFormat/>
    <w:uiPriority w:val="0"/>
    <w:pPr>
      <w:spacing w:line="240" w:lineRule="auto"/>
      <w:ind w:firstLine="0"/>
      <w:jc w:val="center"/>
    </w:pPr>
    <w:rPr>
      <w:spacing w:val="2"/>
      <w:sz w:val="18"/>
    </w:rPr>
  </w:style>
  <w:style w:type="paragraph" w:customStyle="1" w:styleId="80">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table" w:customStyle="1" w:styleId="81">
    <w:name w:val="表格主题1"/>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2">
    <w:name w:val="111正文格式111"/>
    <w:basedOn w:val="83"/>
    <w:qFormat/>
    <w:uiPriority w:val="0"/>
    <w:pPr>
      <w:adjustRightInd w:val="0"/>
      <w:snapToGrid w:val="0"/>
    </w:pPr>
    <w:rPr>
      <w:bCs/>
      <w:lang w:val="en-US" w:eastAsia="zh-CN"/>
    </w:rPr>
  </w:style>
  <w:style w:type="paragraph" w:customStyle="1" w:styleId="83">
    <w:name w:val="正文的格式"/>
    <w:basedOn w:val="1"/>
    <w:qFormat/>
    <w:uiPriority w:val="99"/>
    <w:pPr>
      <w:spacing w:line="360" w:lineRule="auto"/>
      <w:ind w:firstLine="200" w:firstLineChars="200"/>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1.png"/><Relationship Id="rId31" Type="http://schemas.openxmlformats.org/officeDocument/2006/relationships/image" Target="media/image10.jpeg"/><Relationship Id="rId30" Type="http://schemas.openxmlformats.org/officeDocument/2006/relationships/image" Target="media/image9.jpeg"/><Relationship Id="rId3" Type="http://schemas.openxmlformats.org/officeDocument/2006/relationships/footnotes" Target="footnotes.xml"/><Relationship Id="rId29" Type="http://schemas.openxmlformats.org/officeDocument/2006/relationships/image" Target="media/image8.png"/><Relationship Id="rId28" Type="http://schemas.openxmlformats.org/officeDocument/2006/relationships/image" Target="media/image7.png"/><Relationship Id="rId27" Type="http://schemas.openxmlformats.org/officeDocument/2006/relationships/image" Target="media/image6.png"/><Relationship Id="rId26" Type="http://schemas.openxmlformats.org/officeDocument/2006/relationships/image" Target="media/image5.png"/><Relationship Id="rId25" Type="http://schemas.openxmlformats.org/officeDocument/2006/relationships/image" Target="media/image4.emf"/><Relationship Id="rId24" Type="http://schemas.openxmlformats.org/officeDocument/2006/relationships/oleObject" Target="embeddings/oleObject2.bin"/><Relationship Id="rId23" Type="http://schemas.openxmlformats.org/officeDocument/2006/relationships/image" Target="media/image3.jpeg"/><Relationship Id="rId22" Type="http://schemas.openxmlformats.org/officeDocument/2006/relationships/image" Target="media/image2.jpeg"/><Relationship Id="rId21" Type="http://schemas.openxmlformats.org/officeDocument/2006/relationships/image" Target="media/image1.e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BAAC1-8712-494C-9FFA-F28F7E9A56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Pages>
  <Words>26900</Words>
  <Characters>30722</Characters>
  <Lines>218</Lines>
  <Paragraphs>61</Paragraphs>
  <TotalTime>3</TotalTime>
  <ScaleCrop>false</ScaleCrop>
  <LinksUpToDate>false</LinksUpToDate>
  <CharactersWithSpaces>30939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2021-01-04T05:53:00Z</dcterms:created>
  <dc:creator>lhj</dc:creator>
  <cp:lastModifiedBy>呆瓜</cp:lastModifiedBy>
  <cp:lastPrinted>2022-06-09T05:48:37Z</cp:lastPrinted>
  <dcterms:modified xsi:type="dcterms:W3CDTF">2022-06-09T05:48:44Z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7F324355EC5B406A8F006BAD9DFE3DDF</vt:lpwstr>
  </property>
</Properties>
</file>