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婺源县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“十四五”应急体系规划》</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ascii="Calibri" w:hAnsi="Calibri" w:cs="Calibri"/>
          <w:i w:val="0"/>
          <w:iCs w:val="0"/>
          <w:caps w:val="0"/>
          <w:color w:val="000000" w:themeColor="text1"/>
          <w:spacing w:val="0"/>
          <w:sz w:val="21"/>
          <w:szCs w:val="21"/>
          <w14:textFill>
            <w14:solidFill>
              <w14:schemeClr w14:val="tx1"/>
            </w14:solidFill>
          </w14:textFill>
        </w:rPr>
      </w:pPr>
      <w:r>
        <w:rPr>
          <w:rFonts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一、出台背景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000000" w:themeColor="text1"/>
          <w:spacing w:val="0"/>
          <w:sz w:val="21"/>
          <w:szCs w:val="21"/>
          <w14:textFill>
            <w14:solidFill>
              <w14:schemeClr w14:val="tx1"/>
            </w14:solidFill>
          </w14:textFill>
        </w:rPr>
      </w:pPr>
      <w:r>
        <w:rPr>
          <w:rFonts w:ascii="仿宋_GB2312" w:hAnsi="Calibri"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为认真总结我</w:t>
      </w:r>
      <w:r>
        <w:rPr>
          <w:rFonts w:hint="eastAsia" w:ascii="仿宋_GB2312" w:hAnsi="Calibri"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县</w:t>
      </w:r>
      <w:r>
        <w:rPr>
          <w:rFonts w:ascii="仿宋_GB2312" w:hAnsi="Calibri"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“十三五”期间安全生产、应急管理等工作的成效与不足，科学谋划“十四五”应急体系建设工作，促进我</w:t>
      </w:r>
      <w:r>
        <w:rPr>
          <w:rFonts w:hint="eastAsia" w:ascii="仿宋_GB2312" w:hAnsi="Calibri"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县</w:t>
      </w:r>
      <w:r>
        <w:rPr>
          <w:rFonts w:ascii="仿宋_GB2312" w:hAnsi="Calibri"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应急体系建设上新台阶。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000000" w:themeColor="text1"/>
          <w:spacing w:val="0"/>
          <w:sz w:val="21"/>
          <w:szCs w:val="21"/>
          <w14:textFill>
            <w14:solidFill>
              <w14:schemeClr w14:val="tx1"/>
            </w14:solidFill>
          </w14:textFill>
        </w:rPr>
      </w:pPr>
      <w:r>
        <w:rPr>
          <w:rFonts w:hint="eastAsia"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二、出台目的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000000" w:themeColor="text1"/>
          <w:spacing w:val="0"/>
          <w:sz w:val="21"/>
          <w:szCs w:val="21"/>
          <w14:textFill>
            <w14:solidFill>
              <w14:schemeClr w14:val="tx1"/>
            </w14:solidFill>
          </w14:textFill>
        </w:rPr>
      </w:pPr>
      <w:r>
        <w:rPr>
          <w:rFonts w:hint="eastAsia"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从建机制，补短板，强能力，促协同，搞统筹等方面入手，着力解决制约婺源县应急管理体系建设的关键性、基础性、共性的问题。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000000" w:themeColor="text1"/>
          <w:spacing w:val="0"/>
          <w:sz w:val="21"/>
          <w:szCs w:val="21"/>
          <w14:textFill>
            <w14:solidFill>
              <w14:schemeClr w14:val="tx1"/>
            </w14:solidFill>
          </w14:textFill>
        </w:rPr>
      </w:pPr>
      <w:r>
        <w:rPr>
          <w:rFonts w:hint="eastAsia" w:ascii="黑体" w:hAnsi="宋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三、编制依据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w:t>
      </w:r>
      <w:r>
        <w:rPr>
          <w:rFonts w:hint="eastAsia"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.《婺源县国民经济和社会发展第十四个五年规划和二〇三五年远景目标纲要》；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2</w:t>
      </w:r>
      <w:r>
        <w:rPr>
          <w:rFonts w:hint="eastAsia"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.《婺源县“十四五”规划编制工作方案》（</w:t>
      </w:r>
      <w:r>
        <w:rPr>
          <w:rFonts w:ascii="仿宋_GB2312" w:hAnsi="宋体" w:eastAsia="仿宋_GB2312" w:cs="仿宋_GB2312"/>
          <w:i w:val="0"/>
          <w:iCs w:val="0"/>
          <w:caps w:val="0"/>
          <w:color w:val="000000" w:themeColor="text1"/>
          <w:spacing w:val="0"/>
          <w:sz w:val="32"/>
          <w:szCs w:val="32"/>
          <w:shd w:val="clear" w:color="auto" w:fill="FFFFFF"/>
          <w14:textFill>
            <w14:solidFill>
              <w14:schemeClr w14:val="tx1"/>
            </w14:solidFill>
          </w14:textFill>
        </w:rPr>
        <w:t>婺府办字</w:t>
      </w:r>
      <w:r>
        <w:rPr>
          <w:rFonts w:hint="eastAsia" w:ascii="仿宋_GB2312" w:hAnsi="宋体" w:eastAsia="仿宋_GB2312" w:cs="仿宋_GB2312"/>
          <w:i w:val="0"/>
          <w:iCs w:val="0"/>
          <w:caps w:val="0"/>
          <w:color w:val="000000" w:themeColor="text1"/>
          <w:spacing w:val="0"/>
          <w:sz w:val="32"/>
          <w:szCs w:val="32"/>
          <w:shd w:val="clear" w:color="auto" w:fill="FFFFFF"/>
          <w14:textFill>
            <w14:solidFill>
              <w14:schemeClr w14:val="tx1"/>
            </w14:solidFill>
          </w14:textFill>
        </w:rPr>
        <w:t>〔2019〕81号</w:t>
      </w:r>
      <w:r>
        <w:rPr>
          <w:rFonts w:hint="eastAsia" w:ascii="仿宋_GB2312" w:hAnsi="Calibri"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000000" w:themeColor="text1"/>
          <w:spacing w:val="0"/>
          <w:sz w:val="21"/>
          <w:szCs w:val="21"/>
          <w14:textFill>
            <w14:solidFill>
              <w14:schemeClr w14:val="tx1"/>
            </w14:solidFill>
          </w14:textFill>
        </w:rPr>
      </w:pPr>
      <w:r>
        <w:rPr>
          <w:rFonts w:hint="eastAsia" w:ascii="黑体" w:hAnsi="宋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四、主要内容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《规划》共分发展回顾与面临形势，指导思想、基本原则和规划目标，主要任务，重点工程，保障措施五个部份。《规划》回顾总结了“十三五”以来的工作成绩，指出了“十四五”期间所面临的机遇和挑战。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《规划》提出</w:t>
      </w:r>
      <w:r>
        <w:rPr>
          <w:rFonts w:hint="eastAsia"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了7</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大工作任务：深化体制机制改革；加强应急管理制度建设；打造全覆盖的事故灾害防控体系；打造专业高效的应急处置体系；推动应急保障能力提升</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构建标准规范的未稍管理体系；打造繁荣兴盛的安全文化体系。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《规划》明确</w:t>
      </w:r>
      <w:r>
        <w:rPr>
          <w:rFonts w:hint="eastAsia"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eastAsia" w:ascii="Times New Roman" w:hAnsi="Times New Roman" w:eastAsia="宋体"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大重点工程：应急管理</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部门</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能力提升</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应急救援能力提升</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应急管理信息化建设</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自然灾害风险普查、防震减灾能力提升</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应急物资</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流转</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储备</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能力</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建设、应急避难场所提升。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lang w:val="en-US" w:eastAsia="zh-CN"/>
        </w:rPr>
        <w:t>五</w:t>
      </w:r>
      <w:r>
        <w:rPr>
          <w:rFonts w:ascii="黑体" w:hAnsi="宋体" w:eastAsia="黑体" w:cs="黑体"/>
          <w:b w:val="0"/>
          <w:bCs w:val="0"/>
          <w:i w:val="0"/>
          <w:iCs w:val="0"/>
          <w:caps w:val="0"/>
          <w:color w:val="333333"/>
          <w:spacing w:val="0"/>
          <w:sz w:val="32"/>
          <w:szCs w:val="32"/>
          <w:bdr w:val="none" w:color="auto" w:sz="0" w:space="0"/>
          <w:shd w:val="clear" w:fill="FFFFFF"/>
        </w:rPr>
        <w:t>、规划亮点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1.《规划》突出三个“一”</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《规划》在总体思路上，秉持一个理念，坚守一个主题，贯穿一条主线。以“人民至上、生命至上”为理念。《规划》坚持以人为本的原则，坚持以人民为中心的发展</w:t>
      </w:r>
      <w:bookmarkStart w:id="0" w:name="_GoBack"/>
      <w:bookmarkEnd w:id="0"/>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思想，始终做到发展为了人民、发展依靠人民、发展成果由人民共享，始终把保护人民生命财产安全和身体健康放在第一位，全面提升国民安全素质、应急意识，促进人与自然和谐共生。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default"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2.</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抓住“防” 紧盯“救</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《规划》坚持综合减灾理念，坚持以防为主、防抗救相结合，紧紧抓住“防”和“救”这两大环节，努力实现从注重灾后救助向注重灾前预防转变，从减少灾害损失向减轻灾害风险转变。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政策咨询：婺源县应急管理局应急办，13755349148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婺源县蚺城街道气象路北侧</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WM2NTJkMWVlY2U0YWJhMjdlNDFmYzRjYmZhOGEifQ=="/>
  </w:docVars>
  <w:rsids>
    <w:rsidRoot w:val="44C065FA"/>
    <w:rsid w:val="0E030D7E"/>
    <w:rsid w:val="1D4A2822"/>
    <w:rsid w:val="44C065FA"/>
    <w:rsid w:val="52A1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541</Words>
  <Characters>557</Characters>
  <Lines>0</Lines>
  <Paragraphs>0</Paragraphs>
  <TotalTime>17</TotalTime>
  <ScaleCrop>false</ScaleCrop>
  <LinksUpToDate>false</LinksUpToDate>
  <CharactersWithSpaces>567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2022-06-24T07:12:00Z</dcterms:created>
  <dc:creator>Administrator</dc:creator>
  <cp:lastModifiedBy>Administrator</cp:lastModifiedBy>
  <dcterms:modified xsi:type="dcterms:W3CDTF">2022-07-27T02:01:27Z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2CCB61D353C14971ABA09AB198C358EA</vt:lpwstr>
  </property>
</Properties>
</file>