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宋体" w:hAnsi="宋体" w:eastAsia="宋体" w:cs="宋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  <w:lang w:val="en-US" w:eastAsia="zh-CN"/>
        </w:rPr>
        <w:t>婺源县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2022年政府信息公开工作</w:t>
      </w:r>
    </w:p>
    <w:p>
      <w:pPr>
        <w:pStyle w:val="5"/>
        <w:widowControl/>
        <w:shd w:val="clear" w:color="auto" w:fill="FFFFFF"/>
        <w:spacing w:beforeAutospacing="0" w:afterAutospacing="0"/>
        <w:ind w:firstLine="883"/>
        <w:jc w:val="center"/>
        <w:rPr>
          <w:rFonts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年度报告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婺源县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政务服务和大数据管理局大数据服务股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婺源县人民政府网站（www.jxwy.gov.cn）下载。如对本报告有任何疑问，请与婺源县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政务服务和大数据管理局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联系（地址：江西省上饶市婺源县紫阳镇清华路18号，电话：0793-7350696，邮编：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333200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spacing w:beforeAutospacing="0" w:afterAutospacing="0" w:line="11" w:lineRule="atLeast"/>
        <w:ind w:firstLine="0" w:firstLineChars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我县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坚持以习近平新时代中国特色社会主义思想为指导，深入贯彻党的二十大精神，着力提升政府信息公开质量，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努力拓展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政府信息公开渠道，不断增强政府信息公开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时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效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2022年在婺源县人民政府网信息公开平台公开政府信息共计12974条。</w:t>
      </w:r>
    </w:p>
    <w:p>
      <w:pPr>
        <w:pStyle w:val="5"/>
        <w:widowControl/>
        <w:shd w:val="clear" w:color="auto" w:fill="FFFFFF"/>
        <w:spacing w:beforeAutospacing="0" w:afterAutospacing="0" w:line="11" w:lineRule="atLeast"/>
        <w:ind w:firstLine="0" w:firstLineChars="0"/>
        <w:jc w:val="both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420" w:firstLine="320" w:firstLineChars="100"/>
        <w:jc w:val="both"/>
        <w:rPr>
          <w:rFonts w:ascii="楷体" w:hAnsi="楷体" w:eastAsia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color w:val="333333"/>
          <w:sz w:val="32"/>
          <w:szCs w:val="32"/>
          <w:shd w:val="clear" w:color="auto" w:fill="FFFFFF"/>
        </w:rPr>
        <w:t>主动公开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我县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主动公开各类规划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，2022年度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“十四五”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期间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各类规划和解读等内容21条。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抓好财政信息公开，集成展示县直各部门预决算、“三公”经费、部门项目信息187余条。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做好重点领域信息公开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围绕社会保障、城乡建设、住房保障、教育卫生等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重点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领域，设置专栏分类公开，累计发布信息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00余条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常态化公开疫情防控信息，置顶公开新冠疫苗接种点，积极发布群众重点关注的信息，围绕疫情形势、隔离管控、冷链物流、疫苗接种等发布权威解读信息55条。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全年定期及时主动公开我县重大政务要闻和各部门乡镇要闻，共计713条。监督并指导各县直部门和乡镇街道及时主动公开本单位工作动态、人事信息等内容，合计11000余条。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（二）依申请公开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2022年我县共收到政府信息公开申请件21件，全部按规定在法定期限内予以办结，未出现因政府信息公开工作被申请行政复议的情况，未出现因政府信息公开工作被提起行政诉讼的情况。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（三）政府信息管理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我县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规范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政府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信息审核发布机制，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督促和指导各部门及时公布2022年度政务公开事项清单，按清单要求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规范设置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栏目。进一步完善政府信息审核发布机制，确保公开信息依法、及时、全面、准确。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每年度对不予公开的政府信息进行评估，对因情势变化可以公开的信息予以公开，对失效政府信息进行清理规范，并及时公开清理结果。2022年公布了3个规范性文件的废止情况，并对说明了废止理由。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（四）平台建设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both"/>
        <w:textAlignment w:val="auto"/>
        <w:rPr>
          <w:rFonts w:hint="default" w:ascii="楷体" w:hAnsi="楷体" w:eastAsia="楷体" w:cs="楷体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县加强内容建设，合理设置专题专栏，强化网站安全性和便民舒适性，年底前已实现全面支持互联网协议第6版，二、三级页面支持度达100%，全面完成网站的适老化和无障碍改造。同时积极推荐政府信息公开下沉到新平台和基层，新开设的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婺源县人民政府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”微信公众号订阅数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达到971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人，发布信息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109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条；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深入开展基层政务公开标准化规范化“十县百乡”建设，我县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清华镇人民政府便民服务大厅内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已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设置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政务公开专区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方便公众进行线下查阅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进一步保障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了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群众的知情权、参与权和监督权。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（五）监督保障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我县从激励惩戒机制入手，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完善考核机制，继续将政务公开工作纳入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年终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综合绩效考核，并且提高分值到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同时在日常监督中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制定工作台账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定期通报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未及时发布政府信息的单位，全年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未发生违反政府信息公开规定的行为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6352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134"/>
        <w:gridCol w:w="2446"/>
        <w:gridCol w:w="782"/>
        <w:gridCol w:w="734"/>
        <w:gridCol w:w="734"/>
        <w:gridCol w:w="734"/>
        <w:gridCol w:w="734"/>
        <w:gridCol w:w="734"/>
        <w:gridCol w:w="7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1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2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6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8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8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8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125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83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4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41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widowControl/>
        <w:shd w:val="clear" w:color="auto" w:fill="FFFFFF"/>
        <w:ind w:firstLine="640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2022年度，我县在上级部门统筹部署下，深入贯彻落实政府信息公开工作要求，同时协调各县直单位和乡镇街道有序开展政府信息公开工作，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取得了一定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成绩，但与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群众对于信息公开工作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需求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存在一些的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差距。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通过认真分析，主要问题有：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一是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对省、市办发布的工作要求和工作规范理解不够透彻，缺少研究并落实的主动性。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二是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与在政府信息公开工作上表现优异的兄弟县市的学习交流较少。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620"/>
        <w:jc w:val="both"/>
        <w:rPr>
          <w:rFonts w:hint="default" w:ascii="宋体" w:hAnsi="宋体" w:eastAsia="仿宋" w:cs="宋体"/>
          <w:b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针对上述问题，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在今后的工作中，我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将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做好针对性的举措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一是加强对上级政府信息公开工作相关文件的研究学习，调整工作作风，以更积极主动的姿态去理解并落实好政府信息公开工作，尤其是加强决策预公开等重点工作。二是及时总结并吸取优秀县市的工作经验和做法，对照我县政府信息公开工作不足之处，诸如信息发布栏目设置、页面布局等方面加以改进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已在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我县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信息公开指南中发布依申请公开收费标准，2022年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我县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无收取信息处理费情况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E43582"/>
    <w:multiLevelType w:val="singleLevel"/>
    <w:tmpl w:val="F9E43582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RjMTU1MGIyMzA0NTgwY2VmZDY5ZDY1OTQwNjMyNDAifQ=="/>
  </w:docVars>
  <w:rsids>
    <w:rsidRoot w:val="002167C3"/>
    <w:rsid w:val="000508E1"/>
    <w:rsid w:val="002167C3"/>
    <w:rsid w:val="00300DD2"/>
    <w:rsid w:val="00645E83"/>
    <w:rsid w:val="007C79F7"/>
    <w:rsid w:val="00874A4C"/>
    <w:rsid w:val="00C72EF2"/>
    <w:rsid w:val="00D053DB"/>
    <w:rsid w:val="00FE1280"/>
    <w:rsid w:val="029250FD"/>
    <w:rsid w:val="072F4BA5"/>
    <w:rsid w:val="0BD0037E"/>
    <w:rsid w:val="0F42566A"/>
    <w:rsid w:val="0FE32618"/>
    <w:rsid w:val="13CC3B21"/>
    <w:rsid w:val="17534F7D"/>
    <w:rsid w:val="1A62014B"/>
    <w:rsid w:val="1B931963"/>
    <w:rsid w:val="1BC309F2"/>
    <w:rsid w:val="1E7D6144"/>
    <w:rsid w:val="224B441C"/>
    <w:rsid w:val="22923CA7"/>
    <w:rsid w:val="22E26EC9"/>
    <w:rsid w:val="23B06487"/>
    <w:rsid w:val="2480713E"/>
    <w:rsid w:val="27FD2EF5"/>
    <w:rsid w:val="2988332B"/>
    <w:rsid w:val="2B1A10CF"/>
    <w:rsid w:val="2C7D3C6D"/>
    <w:rsid w:val="2EDA6C9B"/>
    <w:rsid w:val="2FB95871"/>
    <w:rsid w:val="424C7E6D"/>
    <w:rsid w:val="44F92119"/>
    <w:rsid w:val="4A3577E4"/>
    <w:rsid w:val="4A661E89"/>
    <w:rsid w:val="4D995A47"/>
    <w:rsid w:val="4E1777FC"/>
    <w:rsid w:val="51641BB9"/>
    <w:rsid w:val="519D4381"/>
    <w:rsid w:val="564F0976"/>
    <w:rsid w:val="566E50F8"/>
    <w:rsid w:val="56857A37"/>
    <w:rsid w:val="58F23AAF"/>
    <w:rsid w:val="5A131B0B"/>
    <w:rsid w:val="5ABA5A4E"/>
    <w:rsid w:val="5B11035D"/>
    <w:rsid w:val="5B7235AA"/>
    <w:rsid w:val="5BA359BF"/>
    <w:rsid w:val="5FCE6A83"/>
    <w:rsid w:val="5FEB66AA"/>
    <w:rsid w:val="60B77FFD"/>
    <w:rsid w:val="62BC2293"/>
    <w:rsid w:val="641A130C"/>
    <w:rsid w:val="663D6813"/>
    <w:rsid w:val="6EB526D3"/>
    <w:rsid w:val="6EC41F3F"/>
    <w:rsid w:val="73F57932"/>
    <w:rsid w:val="77707769"/>
    <w:rsid w:val="77AD7E13"/>
    <w:rsid w:val="7B03617C"/>
    <w:rsid w:val="7B38059E"/>
    <w:rsid w:val="7B440FF1"/>
    <w:rsid w:val="7CBE0124"/>
    <w:rsid w:val="7D7C7DE7"/>
    <w:rsid w:val="7E851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hover14"/>
    <w:basedOn w:val="7"/>
    <w:qFormat/>
    <w:uiPriority w:val="0"/>
    <w:rPr>
      <w:shd w:val="clear" w:color="auto" w:fill="929292"/>
    </w:rPr>
  </w:style>
  <w:style w:type="character" w:customStyle="1" w:styleId="11">
    <w:name w:val="article-icon"/>
    <w:basedOn w:val="7"/>
    <w:qFormat/>
    <w:uiPriority w:val="0"/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2527</Words>
  <Characters>2653</Characters>
  <Lines>4</Lines>
  <Paragraphs>6</Paragraphs>
  <TotalTime>41</TotalTime>
  <ScaleCrop>false</ScaleCrop>
  <LinksUpToDate>false</LinksUpToDate>
  <CharactersWithSpaces>2838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WPS_1528003144</cp:lastModifiedBy>
  <dcterms:modified xsi:type="dcterms:W3CDTF">2023-02-10T07:45:23Z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27BF3EF3799749D1A85DAE3CC1D64587</vt:lpwstr>
  </property>
</Properties>
</file>